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40E56">
              <w:rPr>
                <w:b/>
                <w:sz w:val="20"/>
                <w:szCs w:val="20"/>
              </w:rPr>
              <w:t>170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40E56">
              <w:rPr>
                <w:b/>
                <w:sz w:val="20"/>
                <w:szCs w:val="20"/>
              </w:rPr>
              <w:t>02.02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624051" w:rsidRDefault="00240E56" w:rsidP="0062405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Tıbbi Mikrobiyoloji</w:t>
      </w:r>
      <w:r w:rsidR="00624051">
        <w:rPr>
          <w:b/>
          <w:sz w:val="20"/>
          <w:szCs w:val="20"/>
        </w:rPr>
        <w:t xml:space="preserve"> </w:t>
      </w:r>
      <w:r w:rsidR="00624051">
        <w:rPr>
          <w:sz w:val="20"/>
          <w:szCs w:val="20"/>
        </w:rPr>
        <w:t xml:space="preserve">EABD Yüksek Lisans Programı öğrencisi </w:t>
      </w:r>
      <w:r w:rsidRPr="00240E56">
        <w:rPr>
          <w:b/>
          <w:sz w:val="20"/>
          <w:szCs w:val="20"/>
        </w:rPr>
        <w:t>Çağlar Yusuf YÜCEDAĞ’</w:t>
      </w:r>
      <w:r w:rsidRPr="00240E56">
        <w:rPr>
          <w:sz w:val="20"/>
          <w:szCs w:val="20"/>
        </w:rPr>
        <w:t>ın</w:t>
      </w:r>
      <w:r w:rsidR="00624051">
        <w:rPr>
          <w:sz w:val="20"/>
          <w:szCs w:val="20"/>
        </w:rPr>
        <w:t xml:space="preserve"> </w:t>
      </w:r>
      <w:r>
        <w:rPr>
          <w:sz w:val="20"/>
          <w:szCs w:val="20"/>
        </w:rPr>
        <w:t>13.01.2021</w:t>
      </w:r>
      <w:r w:rsidR="00624051">
        <w:rPr>
          <w:sz w:val="20"/>
          <w:szCs w:val="20"/>
        </w:rPr>
        <w:t xml:space="preserve"> tarihinde girdiği Yüksek Lisans Tez Savunma Sınavını </w:t>
      </w:r>
      <w:r w:rsidR="00624051">
        <w:rPr>
          <w:b/>
          <w:sz w:val="20"/>
          <w:szCs w:val="20"/>
          <w:u w:val="single"/>
        </w:rPr>
        <w:t>oy birliği</w:t>
      </w:r>
      <w:r w:rsidR="00624051">
        <w:rPr>
          <w:sz w:val="20"/>
          <w:szCs w:val="20"/>
        </w:rPr>
        <w:t xml:space="preserve"> ile başardığını belirten tutanak okundu ve dosyası incelendi. </w:t>
      </w: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</w:p>
    <w:p w:rsidR="00624051" w:rsidRDefault="00624051" w:rsidP="0062405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="00240E56">
        <w:rPr>
          <w:bCs/>
          <w:sz w:val="20"/>
          <w:szCs w:val="20"/>
        </w:rPr>
        <w:t>02.02</w:t>
      </w:r>
      <w:r>
        <w:rPr>
          <w:bCs/>
          <w:sz w:val="20"/>
          <w:szCs w:val="20"/>
        </w:rPr>
        <w:t xml:space="preserve">.2021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240E56" w:rsidRDefault="00240E56" w:rsidP="00240E5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Biyokimya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 w:rsidRPr="00240E56">
        <w:rPr>
          <w:b/>
          <w:sz w:val="20"/>
          <w:szCs w:val="20"/>
        </w:rPr>
        <w:t>Mehmet Abdulkadir ŞEKEROĞLU</w:t>
      </w:r>
      <w:r>
        <w:rPr>
          <w:sz w:val="20"/>
          <w:szCs w:val="20"/>
        </w:rPr>
        <w:t xml:space="preserve">’nun 18.01.2021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240E56" w:rsidRDefault="00240E56" w:rsidP="00240E56">
      <w:pPr>
        <w:pStyle w:val="ListeParagraf"/>
        <w:ind w:left="17"/>
        <w:jc w:val="both"/>
        <w:rPr>
          <w:sz w:val="20"/>
          <w:szCs w:val="20"/>
        </w:rPr>
      </w:pPr>
    </w:p>
    <w:p w:rsidR="00240E56" w:rsidRDefault="00240E56" w:rsidP="00240E56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02.02.2021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9D56C2" w:rsidRPr="001C4791" w:rsidRDefault="00240E56" w:rsidP="009D56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9D56C2">
        <w:rPr>
          <w:sz w:val="20"/>
          <w:szCs w:val="20"/>
        </w:rPr>
        <w:t>Tıbbi Mikrobiyoloji</w:t>
      </w:r>
      <w:r w:rsidR="009D56C2" w:rsidRPr="001C4791">
        <w:rPr>
          <w:sz w:val="20"/>
          <w:szCs w:val="20"/>
        </w:rPr>
        <w:t xml:space="preserve"> EABD Başkanlığının </w:t>
      </w:r>
      <w:r w:rsidR="009D56C2">
        <w:rPr>
          <w:sz w:val="20"/>
          <w:szCs w:val="20"/>
        </w:rPr>
        <w:t>25.01.2021</w:t>
      </w:r>
      <w:r w:rsidR="009D56C2" w:rsidRPr="001C4791">
        <w:rPr>
          <w:sz w:val="20"/>
          <w:szCs w:val="20"/>
        </w:rPr>
        <w:t xml:space="preserve"> tarihli ve E.</w:t>
      </w:r>
      <w:r w:rsidR="009D56C2">
        <w:rPr>
          <w:sz w:val="20"/>
          <w:szCs w:val="20"/>
        </w:rPr>
        <w:t>4927</w:t>
      </w:r>
      <w:r w:rsidR="009D56C2" w:rsidRPr="001C4791">
        <w:rPr>
          <w:sz w:val="20"/>
          <w:szCs w:val="20"/>
        </w:rPr>
        <w:t xml:space="preserve"> sayılı yazısı ve ekleri okundu. </w:t>
      </w:r>
    </w:p>
    <w:p w:rsidR="009D56C2" w:rsidRPr="001C4791" w:rsidRDefault="009D56C2" w:rsidP="009D56C2">
      <w:pPr>
        <w:jc w:val="both"/>
        <w:rPr>
          <w:sz w:val="20"/>
          <w:szCs w:val="20"/>
        </w:rPr>
      </w:pPr>
    </w:p>
    <w:p w:rsidR="009D56C2" w:rsidRPr="001C4791" w:rsidRDefault="009D56C2" w:rsidP="009D56C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080B62"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 w:rsidR="00080B62"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 w:rsidR="00080B62">
        <w:rPr>
          <w:sz w:val="20"/>
          <w:szCs w:val="20"/>
        </w:rPr>
        <w:t>yüksek l</w:t>
      </w:r>
      <w:r w:rsidRPr="00CB712D">
        <w:rPr>
          <w:sz w:val="20"/>
          <w:szCs w:val="20"/>
        </w:rPr>
        <w:t>isans</w:t>
      </w:r>
      <w:r w:rsidR="00080B62">
        <w:rPr>
          <w:sz w:val="20"/>
          <w:szCs w:val="20"/>
        </w:rPr>
        <w:t xml:space="preserve"> programı öğrencilerinin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9D56C2" w:rsidRPr="001C4791" w:rsidRDefault="009D56C2" w:rsidP="009D56C2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9D56C2" w:rsidRPr="001C4791" w:rsidTr="00080B62">
        <w:tc>
          <w:tcPr>
            <w:tcW w:w="8926" w:type="dxa"/>
            <w:gridSpan w:val="4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9D56C2" w:rsidRPr="001C4791" w:rsidTr="00080B62">
        <w:tc>
          <w:tcPr>
            <w:tcW w:w="2830" w:type="dxa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9D56C2" w:rsidRPr="001C4791" w:rsidTr="00080B62">
        <w:tc>
          <w:tcPr>
            <w:tcW w:w="2830" w:type="dxa"/>
            <w:vAlign w:val="center"/>
          </w:tcPr>
          <w:p w:rsidR="009D56C2" w:rsidRPr="001C4791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Hevı Seerwan GHAFOUR GHAFOUR</w:t>
            </w:r>
          </w:p>
        </w:tc>
        <w:tc>
          <w:tcPr>
            <w:tcW w:w="1701" w:type="dxa"/>
            <w:vAlign w:val="center"/>
          </w:tcPr>
          <w:p w:rsidR="009D56C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127" w:type="dxa"/>
            <w:vAlign w:val="center"/>
          </w:tcPr>
          <w:p w:rsidR="009D56C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268" w:type="dxa"/>
            <w:vAlign w:val="center"/>
          </w:tcPr>
          <w:p w:rsidR="009D56C2" w:rsidRPr="00CB712D" w:rsidRDefault="00080B62" w:rsidP="003E57A9">
            <w:r w:rsidRPr="00080B62">
              <w:rPr>
                <w:sz w:val="20"/>
                <w:szCs w:val="20"/>
              </w:rPr>
              <w:t>Dr. Öğr. Üyesi Tayfur DEMİRAY</w:t>
            </w:r>
            <w:r>
              <w:t xml:space="preserve"> </w:t>
            </w:r>
          </w:p>
        </w:tc>
      </w:tr>
      <w:tr w:rsidR="00080B62" w:rsidRPr="001C4791" w:rsidTr="00080B62">
        <w:tc>
          <w:tcPr>
            <w:tcW w:w="2830" w:type="dxa"/>
            <w:vAlign w:val="center"/>
          </w:tcPr>
          <w:p w:rsidR="00080B62" w:rsidRPr="00080B62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Mohammed SADEQ SALEH SALEH</w:t>
            </w:r>
          </w:p>
        </w:tc>
        <w:tc>
          <w:tcPr>
            <w:tcW w:w="1701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127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268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Dr. Öğr. Üyesi Tayfur DEMİRAY</w:t>
            </w:r>
          </w:p>
        </w:tc>
      </w:tr>
      <w:tr w:rsidR="00080B62" w:rsidRPr="001C4791" w:rsidTr="00080B62">
        <w:tc>
          <w:tcPr>
            <w:tcW w:w="2830" w:type="dxa"/>
            <w:vAlign w:val="center"/>
          </w:tcPr>
          <w:p w:rsidR="00080B62" w:rsidRPr="00080B62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Radhwan Abdulrazzaq KHALEEL KHALEEL</w:t>
            </w:r>
          </w:p>
        </w:tc>
        <w:tc>
          <w:tcPr>
            <w:tcW w:w="1701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127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268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Dr. Öğr. Üyesi Tayfur DEMİRAY</w:t>
            </w:r>
          </w:p>
        </w:tc>
      </w:tr>
    </w:tbl>
    <w:p w:rsidR="00240E56" w:rsidRDefault="00240E56" w:rsidP="001C677A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50471" w:rsidP="00080B62">
      <w:pPr>
        <w:jc w:val="both"/>
        <w:rPr>
          <w:b/>
          <w:sz w:val="20"/>
          <w:szCs w:val="20"/>
        </w:rPr>
      </w:pPr>
    </w:p>
    <w:p w:rsidR="00080B62" w:rsidRPr="001C4791" w:rsidRDefault="00080B62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26.01.2021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5274</w:t>
      </w:r>
      <w:r w:rsidRPr="001C4791">
        <w:rPr>
          <w:sz w:val="20"/>
          <w:szCs w:val="20"/>
        </w:rPr>
        <w:t xml:space="preserve"> sayılı yazısı ve ekleri okundu. </w:t>
      </w:r>
    </w:p>
    <w:p w:rsidR="00080B62" w:rsidRPr="001C4791" w:rsidRDefault="00080B62" w:rsidP="00080B62">
      <w:pPr>
        <w:jc w:val="both"/>
        <w:rPr>
          <w:sz w:val="20"/>
          <w:szCs w:val="20"/>
        </w:rPr>
      </w:pPr>
    </w:p>
    <w:p w:rsidR="00080B62" w:rsidRPr="001C4791" w:rsidRDefault="00080B62" w:rsidP="00080B6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</w:t>
      </w:r>
      <w:r w:rsidRPr="00CB712D">
        <w:rPr>
          <w:sz w:val="20"/>
          <w:szCs w:val="20"/>
        </w:rPr>
        <w:t>isans</w:t>
      </w:r>
      <w:r>
        <w:rPr>
          <w:sz w:val="20"/>
          <w:szCs w:val="20"/>
        </w:rPr>
        <w:t xml:space="preserve"> programı öğrencilerinin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080B62" w:rsidRPr="001C4791" w:rsidRDefault="00080B62" w:rsidP="00080B62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080B62" w:rsidRPr="001C4791" w:rsidTr="003E57A9">
        <w:tc>
          <w:tcPr>
            <w:tcW w:w="8926" w:type="dxa"/>
            <w:gridSpan w:val="4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080B62" w:rsidRPr="001C4791" w:rsidTr="003E57A9">
        <w:tc>
          <w:tcPr>
            <w:tcW w:w="2830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080B62" w:rsidRPr="001C4791" w:rsidTr="003E57A9">
        <w:tc>
          <w:tcPr>
            <w:tcW w:w="2830" w:type="dxa"/>
            <w:vAlign w:val="center"/>
          </w:tcPr>
          <w:p w:rsidR="00080B6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Sıdıka Tansu SAVRAN</w:t>
            </w:r>
          </w:p>
        </w:tc>
        <w:tc>
          <w:tcPr>
            <w:tcW w:w="1701" w:type="dxa"/>
            <w:vAlign w:val="center"/>
          </w:tcPr>
          <w:p w:rsidR="00080B6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080B6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 KÖKÇÜ</w:t>
            </w:r>
          </w:p>
        </w:tc>
        <w:tc>
          <w:tcPr>
            <w:tcW w:w="2268" w:type="dxa"/>
            <w:vAlign w:val="center"/>
          </w:tcPr>
          <w:p w:rsidR="00080B62" w:rsidRPr="00CB712D" w:rsidRDefault="00080B62" w:rsidP="003E57A9">
            <w:r>
              <w:t>Dr. Öğr. Üyesi Kevser ÖZDEMİR</w:t>
            </w:r>
          </w:p>
        </w:tc>
      </w:tr>
      <w:tr w:rsidR="00080B62" w:rsidRPr="001C4791" w:rsidTr="003E57A9">
        <w:tc>
          <w:tcPr>
            <w:tcW w:w="2830" w:type="dxa"/>
            <w:vAlign w:val="center"/>
          </w:tcPr>
          <w:p w:rsidR="00080B62" w:rsidRP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Demet FİDAN</w:t>
            </w:r>
          </w:p>
        </w:tc>
        <w:tc>
          <w:tcPr>
            <w:tcW w:w="1701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2268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080B62" w:rsidRPr="001C4791" w:rsidRDefault="00080B62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29.01.2021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6662</w:t>
      </w:r>
      <w:r w:rsidRPr="001C4791">
        <w:rPr>
          <w:sz w:val="20"/>
          <w:szCs w:val="20"/>
        </w:rPr>
        <w:t xml:space="preserve"> sayılı yazısı ve ekleri okundu. </w:t>
      </w:r>
    </w:p>
    <w:p w:rsidR="00080B62" w:rsidRPr="001C4791" w:rsidRDefault="00080B62" w:rsidP="00080B62">
      <w:pPr>
        <w:jc w:val="both"/>
        <w:rPr>
          <w:sz w:val="20"/>
          <w:szCs w:val="20"/>
        </w:rPr>
      </w:pPr>
    </w:p>
    <w:p w:rsidR="00080B62" w:rsidRPr="001C4791" w:rsidRDefault="00080B62" w:rsidP="00080B6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</w:t>
      </w:r>
      <w:r w:rsidRPr="00CB712D">
        <w:rPr>
          <w:sz w:val="20"/>
          <w:szCs w:val="20"/>
        </w:rPr>
        <w:t>isans</w:t>
      </w:r>
      <w:r>
        <w:rPr>
          <w:sz w:val="20"/>
          <w:szCs w:val="20"/>
        </w:rPr>
        <w:t xml:space="preserve"> programı öğrencilerinin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080B62" w:rsidRPr="001C4791" w:rsidRDefault="00080B62" w:rsidP="00080B62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</w:tblGrid>
      <w:tr w:rsidR="00080B62" w:rsidRPr="001C4791" w:rsidTr="003E57A9">
        <w:tc>
          <w:tcPr>
            <w:tcW w:w="8926" w:type="dxa"/>
            <w:gridSpan w:val="4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080B62" w:rsidRPr="001C4791" w:rsidTr="003E57A9">
        <w:tc>
          <w:tcPr>
            <w:tcW w:w="2830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080B62" w:rsidRPr="001C4791" w:rsidRDefault="00080B6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080B62" w:rsidRPr="001C4791" w:rsidTr="003E57A9">
        <w:tc>
          <w:tcPr>
            <w:tcW w:w="2830" w:type="dxa"/>
            <w:vAlign w:val="center"/>
          </w:tcPr>
          <w:p w:rsidR="00080B6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1701" w:type="dxa"/>
            <w:vAlign w:val="center"/>
          </w:tcPr>
          <w:p w:rsidR="00080B62" w:rsidRPr="001C4791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080B62" w:rsidRPr="001C4791" w:rsidRDefault="00080B62" w:rsidP="00080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2268" w:type="dxa"/>
            <w:vAlign w:val="center"/>
          </w:tcPr>
          <w:p w:rsidR="00080B62" w:rsidRPr="00080B62" w:rsidRDefault="00080B62" w:rsidP="00080B62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Dr. Öğr. Üyesi Zekiye TURAN</w:t>
            </w:r>
          </w:p>
        </w:tc>
      </w:tr>
      <w:tr w:rsidR="00080B62" w:rsidRPr="001C4791" w:rsidTr="00080B62">
        <w:trPr>
          <w:trHeight w:val="285"/>
        </w:trPr>
        <w:tc>
          <w:tcPr>
            <w:tcW w:w="2830" w:type="dxa"/>
            <w:vAlign w:val="center"/>
          </w:tcPr>
          <w:p w:rsidR="00080B62" w:rsidRP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1701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2268" w:type="dxa"/>
            <w:vAlign w:val="center"/>
          </w:tcPr>
          <w:p w:rsidR="00080B62" w:rsidRDefault="00080B62" w:rsidP="003E57A9">
            <w:pPr>
              <w:rPr>
                <w:sz w:val="20"/>
                <w:szCs w:val="20"/>
              </w:rPr>
            </w:pPr>
            <w:r w:rsidRPr="00080B62">
              <w:rPr>
                <w:sz w:val="20"/>
                <w:szCs w:val="20"/>
              </w:rPr>
              <w:t>Dr. Öğr. Üyesi Zekiye TURAN</w:t>
            </w:r>
          </w:p>
        </w:tc>
      </w:tr>
    </w:tbl>
    <w:p w:rsidR="00080B62" w:rsidRDefault="00080B62" w:rsidP="001C677A">
      <w:pPr>
        <w:jc w:val="both"/>
        <w:rPr>
          <w:b/>
          <w:sz w:val="20"/>
          <w:szCs w:val="20"/>
        </w:rPr>
      </w:pPr>
    </w:p>
    <w:p w:rsidR="00080B62" w:rsidRPr="001C4791" w:rsidRDefault="00080B62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 w:rsidR="00250471">
        <w:rPr>
          <w:sz w:val="20"/>
          <w:szCs w:val="20"/>
        </w:rPr>
        <w:t>29.01.2021</w:t>
      </w:r>
      <w:r w:rsidRPr="001C4791">
        <w:rPr>
          <w:sz w:val="20"/>
          <w:szCs w:val="20"/>
        </w:rPr>
        <w:t xml:space="preserve"> tarih ve E.</w:t>
      </w:r>
      <w:r w:rsidR="00250471">
        <w:rPr>
          <w:sz w:val="20"/>
          <w:szCs w:val="20"/>
        </w:rPr>
        <w:t>6676</w:t>
      </w:r>
      <w:r w:rsidRPr="001C4791">
        <w:rPr>
          <w:sz w:val="20"/>
          <w:szCs w:val="20"/>
        </w:rPr>
        <w:t xml:space="preserve"> sayılı yazısı ve ekleri okundu.</w:t>
      </w:r>
    </w:p>
    <w:p w:rsidR="00080B62" w:rsidRPr="001C4791" w:rsidRDefault="00080B62" w:rsidP="00080B62">
      <w:pPr>
        <w:jc w:val="both"/>
        <w:rPr>
          <w:sz w:val="20"/>
          <w:szCs w:val="20"/>
        </w:rPr>
      </w:pPr>
    </w:p>
    <w:p w:rsidR="00080B62" w:rsidRPr="001C4791" w:rsidRDefault="00080B62" w:rsidP="00250471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="00250471">
        <w:rPr>
          <w:rFonts w:eastAsia="Calibri"/>
          <w:b/>
          <w:sz w:val="20"/>
          <w:szCs w:val="20"/>
        </w:rPr>
        <w:t xml:space="preserve">Nermin </w:t>
      </w:r>
      <w:r w:rsidR="00250471" w:rsidRPr="00250471">
        <w:rPr>
          <w:rFonts w:eastAsia="Calibri"/>
          <w:b/>
          <w:sz w:val="20"/>
          <w:szCs w:val="20"/>
        </w:rPr>
        <w:t>AKBAYIR</w:t>
      </w:r>
      <w:r w:rsidR="00250471" w:rsidRPr="00250471">
        <w:rPr>
          <w:rFonts w:eastAsia="Calibri"/>
          <w:sz w:val="20"/>
          <w:szCs w:val="20"/>
        </w:rPr>
        <w:t>’</w:t>
      </w:r>
      <w:r w:rsidR="00250471">
        <w:rPr>
          <w:rFonts w:eastAsia="Calibri"/>
          <w:sz w:val="20"/>
          <w:szCs w:val="20"/>
        </w:rPr>
        <w:t xml:space="preserve">ın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080B62" w:rsidRPr="001C4791" w:rsidTr="00250471">
        <w:tc>
          <w:tcPr>
            <w:tcW w:w="1696" w:type="dxa"/>
          </w:tcPr>
          <w:p w:rsidR="00080B62" w:rsidRPr="001C4791" w:rsidRDefault="00080B62" w:rsidP="003E57A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080B62" w:rsidRPr="001C4791" w:rsidRDefault="00080B62" w:rsidP="003E57A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80B62" w:rsidRPr="001C4791" w:rsidRDefault="00080B62" w:rsidP="003E57A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080B62" w:rsidRDefault="00080B62" w:rsidP="003E57A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080B62" w:rsidRPr="001C4791" w:rsidRDefault="00080B62" w:rsidP="003E57A9">
            <w:pPr>
              <w:rPr>
                <w:b/>
                <w:sz w:val="20"/>
                <w:szCs w:val="20"/>
              </w:rPr>
            </w:pPr>
          </w:p>
        </w:tc>
      </w:tr>
      <w:tr w:rsidR="00080B62" w:rsidRPr="001C4791" w:rsidTr="00FF0232">
        <w:tc>
          <w:tcPr>
            <w:tcW w:w="1696" w:type="dxa"/>
          </w:tcPr>
          <w:p w:rsidR="00080B62" w:rsidRPr="00250471" w:rsidRDefault="00250471" w:rsidP="003E57A9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Nermin AKBAYIR</w:t>
            </w:r>
          </w:p>
        </w:tc>
        <w:tc>
          <w:tcPr>
            <w:tcW w:w="1701" w:type="dxa"/>
            <w:vAlign w:val="center"/>
          </w:tcPr>
          <w:p w:rsidR="00080B62" w:rsidRPr="00250471" w:rsidRDefault="00250471" w:rsidP="003E57A9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080B62" w:rsidRPr="00250471" w:rsidRDefault="00250471" w:rsidP="003E57A9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Prof. Dr. Dilek AYGİN</w:t>
            </w:r>
          </w:p>
        </w:tc>
        <w:tc>
          <w:tcPr>
            <w:tcW w:w="3538" w:type="dxa"/>
          </w:tcPr>
          <w:p w:rsidR="00080B62" w:rsidRPr="00250471" w:rsidRDefault="00250471" w:rsidP="003E57A9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 xml:space="preserve">Yoğun Bakım Ünitelerinde Nütrisyonel Beslenme ve Basınç Yarası Arasındaki İlişkinin </w:t>
            </w:r>
            <w:r>
              <w:rPr>
                <w:sz w:val="20"/>
                <w:szCs w:val="20"/>
              </w:rPr>
              <w:t>İ</w:t>
            </w:r>
            <w:r w:rsidRPr="00250471">
              <w:rPr>
                <w:sz w:val="20"/>
                <w:szCs w:val="20"/>
              </w:rPr>
              <w:t xml:space="preserve">ncelenmesi </w:t>
            </w:r>
          </w:p>
        </w:tc>
      </w:tr>
    </w:tbl>
    <w:p w:rsidR="00080B62" w:rsidRDefault="00080B62" w:rsidP="001C677A">
      <w:pPr>
        <w:jc w:val="both"/>
        <w:rPr>
          <w:b/>
          <w:sz w:val="20"/>
          <w:szCs w:val="20"/>
        </w:rPr>
      </w:pPr>
    </w:p>
    <w:p w:rsidR="00250471" w:rsidRPr="001C4791" w:rsidRDefault="00250471" w:rsidP="002504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7-</w:t>
      </w:r>
      <w:r w:rsidRPr="001C4791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Eğitim ve Öğretim Yılı Bahar Yarıyılı kesin kayıtları konusu görüşmeye açıldı.</w:t>
      </w:r>
    </w:p>
    <w:p w:rsidR="00250471" w:rsidRPr="001C4791" w:rsidRDefault="00250471" w:rsidP="00250471">
      <w:pPr>
        <w:jc w:val="both"/>
        <w:rPr>
          <w:sz w:val="20"/>
          <w:szCs w:val="20"/>
        </w:rPr>
      </w:pPr>
    </w:p>
    <w:p w:rsidR="00250471" w:rsidRPr="001C4791" w:rsidRDefault="00250471" w:rsidP="00250471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, Tıbbi Mikrobiyoloji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, Tıbbi </w:t>
      </w:r>
      <w:r>
        <w:rPr>
          <w:sz w:val="20"/>
          <w:szCs w:val="20"/>
        </w:rPr>
        <w:t>Biyoloji</w:t>
      </w:r>
      <w:r w:rsidRPr="001C4791">
        <w:rPr>
          <w:sz w:val="20"/>
          <w:szCs w:val="20"/>
        </w:rPr>
        <w:t xml:space="preserve"> yüksek lisans,</w:t>
      </w:r>
      <w:r>
        <w:rPr>
          <w:sz w:val="20"/>
          <w:szCs w:val="20"/>
        </w:rPr>
        <w:t xml:space="preserve"> Transfüzyon Güvenliği ve Hemovijilans II. Öğretim Tezsiz Yüksek Lisans, Madde Bağımlılığı II. Öğretim Tezsiz Yüksek Lisans ve</w:t>
      </w:r>
      <w:r w:rsidRPr="001C4791">
        <w:rPr>
          <w:sz w:val="20"/>
          <w:szCs w:val="20"/>
        </w:rPr>
        <w:t xml:space="preserve"> İş sağlığı ve Güvenliği II. Öğretim tez</w:t>
      </w:r>
      <w:r>
        <w:rPr>
          <w:sz w:val="20"/>
          <w:szCs w:val="20"/>
        </w:rPr>
        <w:t>siz yüksek lisans programlarına, 2020-2021</w:t>
      </w:r>
      <w:r w:rsidRPr="001C4791">
        <w:rPr>
          <w:sz w:val="20"/>
          <w:szCs w:val="20"/>
        </w:rPr>
        <w:t xml:space="preserve"> Eğitim Öğretim Yılı Bahar Yarıyılı kesin kayıt listelerinin 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  <w:r>
        <w:rPr>
          <w:sz w:val="20"/>
          <w:szCs w:val="20"/>
        </w:rPr>
        <w:t xml:space="preserve"> </w:t>
      </w:r>
    </w:p>
    <w:p w:rsidR="00080B62" w:rsidRDefault="00080B62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250471" w:rsidRDefault="00250471" w:rsidP="001C677A">
      <w:pPr>
        <w:jc w:val="both"/>
        <w:rPr>
          <w:b/>
          <w:sz w:val="20"/>
          <w:szCs w:val="20"/>
        </w:rPr>
      </w:pPr>
    </w:p>
    <w:p w:rsidR="00080B62" w:rsidRDefault="00080B62" w:rsidP="001C677A">
      <w:pPr>
        <w:jc w:val="both"/>
        <w:rPr>
          <w:b/>
          <w:sz w:val="20"/>
          <w:szCs w:val="20"/>
        </w:rPr>
      </w:pPr>
    </w:p>
    <w:p w:rsidR="00CF34CA" w:rsidRPr="001622EE" w:rsidRDefault="00250471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452F76" w:rsidRPr="001622EE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622EE" w:rsidRPr="001622EE" w:rsidRDefault="00FD02F7" w:rsidP="001622E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bookmarkStart w:id="0" w:name="_GoBack"/>
      <w:bookmarkEnd w:id="0"/>
    </w:p>
    <w:sectPr w:rsidR="001622EE" w:rsidRPr="001622EE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20" w:rsidRDefault="009D4320">
      <w:r>
        <w:separator/>
      </w:r>
    </w:p>
  </w:endnote>
  <w:endnote w:type="continuationSeparator" w:id="0">
    <w:p w:rsidR="009D4320" w:rsidRDefault="009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20" w:rsidRDefault="009D4320">
      <w:r>
        <w:separator/>
      </w:r>
    </w:p>
  </w:footnote>
  <w:footnote w:type="continuationSeparator" w:id="0">
    <w:p w:rsidR="009D4320" w:rsidRDefault="009D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240E56" w:rsidP="00813CF1">
    <w:pPr>
      <w:pStyle w:val="stbilgi"/>
      <w:jc w:val="right"/>
    </w:pPr>
    <w:r>
      <w:t>02 Şubat</w:t>
    </w:r>
    <w:r w:rsidR="00624051">
      <w:t xml:space="preserve"> 2021</w:t>
    </w:r>
    <w:r w:rsidR="008A787F">
      <w:t>/1</w:t>
    </w:r>
    <w:r>
      <w:t>70</w:t>
    </w:r>
    <w:r w:rsidR="001A50F2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1A50F2">
          <w:fldChar w:fldCharType="begin"/>
        </w:r>
        <w:r w:rsidR="001A50F2">
          <w:instrText>PAGE   \* MERGEFORMAT</w:instrText>
        </w:r>
        <w:r w:rsidR="001A50F2">
          <w:fldChar w:fldCharType="separate"/>
        </w:r>
        <w:r w:rsidR="00603385">
          <w:rPr>
            <w:noProof/>
          </w:rPr>
          <w:t>3</w:t>
        </w:r>
        <w:r w:rsidR="001A50F2"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9D2"/>
    <w:rsid w:val="000820DC"/>
    <w:rsid w:val="000846F9"/>
    <w:rsid w:val="00084CA8"/>
    <w:rsid w:val="000852F1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13E6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137C"/>
    <w:rsid w:val="00744423"/>
    <w:rsid w:val="00744ED6"/>
    <w:rsid w:val="007458B7"/>
    <w:rsid w:val="007461A5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20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3EB2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5B64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3D09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DC85-C016-48FC-9466-B1CA5DA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2021-02-02T12:50:00Z</cp:lastPrinted>
  <dcterms:created xsi:type="dcterms:W3CDTF">2021-02-09T07:57:00Z</dcterms:created>
  <dcterms:modified xsi:type="dcterms:W3CDTF">2021-02-09T07:57:00Z</dcterms:modified>
</cp:coreProperties>
</file>