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E119F" w:rsidRDefault="00A858E1" w:rsidP="00A858E1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E119F" w:rsidTr="00935AA0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</w:p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A858E1" w:rsidRDefault="00A858E1" w:rsidP="00935AA0">
            <w:pPr>
              <w:rPr>
                <w:b/>
                <w:bCs/>
                <w:sz w:val="20"/>
                <w:szCs w:val="18"/>
              </w:rPr>
            </w:pPr>
          </w:p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09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BF4897" w:rsidRDefault="00A858E1" w:rsidP="00E94249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>
              <w:rPr>
                <w:b/>
                <w:bCs/>
                <w:sz w:val="20"/>
                <w:szCs w:val="18"/>
              </w:rPr>
              <w:t xml:space="preserve"> 02.</w:t>
            </w:r>
            <w:r w:rsidR="00E94249">
              <w:rPr>
                <w:b/>
                <w:bCs/>
                <w:sz w:val="20"/>
                <w:szCs w:val="18"/>
              </w:rPr>
              <w:t>06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E94249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rPr>
          <w:cantSplit/>
        </w:trPr>
        <w:tc>
          <w:tcPr>
            <w:tcW w:w="4930" w:type="dxa"/>
            <w:gridSpan w:val="2"/>
          </w:tcPr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A858E1" w:rsidRPr="00426CA5" w:rsidTr="00935AA0">
        <w:trPr>
          <w:cantSplit/>
        </w:trPr>
        <w:tc>
          <w:tcPr>
            <w:tcW w:w="4930" w:type="dxa"/>
            <w:gridSpan w:val="2"/>
          </w:tcPr>
          <w:p w:rsidR="00A858E1" w:rsidRPr="00A17794" w:rsidRDefault="00A858E1" w:rsidP="00935AA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 Dr. Oğuz Karabay (Enstitü Müdürü)</w:t>
            </w:r>
          </w:p>
          <w:p w:rsidR="00A858E1" w:rsidRPr="00A17794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.Havva</w:t>
            </w:r>
            <w:proofErr w:type="spellEnd"/>
            <w:r>
              <w:rPr>
                <w:sz w:val="18"/>
                <w:szCs w:val="18"/>
              </w:rPr>
              <w:t xml:space="preserve"> Sert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Pr="006C571D">
              <w:rPr>
                <w:sz w:val="18"/>
                <w:szCs w:val="18"/>
              </w:rPr>
              <w:t xml:space="preserve"> (Farmakoloji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Altındiş</w:t>
            </w:r>
            <w:proofErr w:type="spellEnd"/>
            <w:r>
              <w:rPr>
                <w:sz w:val="18"/>
                <w:szCs w:val="18"/>
              </w:rPr>
              <w:t xml:space="preserve"> (Tıbbi Mikrobiyoloji EABD Bşk.)</w:t>
            </w:r>
          </w:p>
          <w:p w:rsidR="00B12808" w:rsidRPr="006C571D" w:rsidRDefault="00B12808" w:rsidP="00B128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B12808" w:rsidRDefault="00B12808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Küçükislamoğlu</w:t>
            </w:r>
            <w:proofErr w:type="spellEnd"/>
            <w:r>
              <w:rPr>
                <w:sz w:val="18"/>
                <w:szCs w:val="18"/>
              </w:rPr>
              <w:t xml:space="preserve"> (İş Sağlığı ve Güvenliği EABD Bşk.)</w:t>
            </w:r>
          </w:p>
          <w:p w:rsidR="00F57115" w:rsidRPr="006C571D" w:rsidRDefault="00F57115" w:rsidP="00F571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6C571D">
              <w:rPr>
                <w:sz w:val="18"/>
                <w:szCs w:val="18"/>
              </w:rPr>
              <w:t>.</w:t>
            </w:r>
            <w:proofErr w:type="spellStart"/>
            <w:proofErr w:type="gramEnd"/>
            <w:r w:rsidRPr="006C571D">
              <w:rPr>
                <w:sz w:val="18"/>
                <w:szCs w:val="18"/>
              </w:rPr>
              <w:t>Dr.Mehmet</w:t>
            </w:r>
            <w:proofErr w:type="spellEnd"/>
            <w:r w:rsidRPr="006C571D">
              <w:rPr>
                <w:sz w:val="18"/>
                <w:szCs w:val="18"/>
              </w:rPr>
              <w:t xml:space="preserve">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</w:t>
            </w:r>
            <w:proofErr w:type="gramStart"/>
            <w:r w:rsidRPr="006C571D">
              <w:rPr>
                <w:sz w:val="18"/>
                <w:szCs w:val="18"/>
              </w:rPr>
              <w:t>)</w:t>
            </w:r>
            <w:proofErr w:type="gramEnd"/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Süleyman Kaleli (Tıbbi Biyoloji EABD Bşk.)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.Keziban</w:t>
            </w:r>
            <w:proofErr w:type="spellEnd"/>
            <w:r>
              <w:rPr>
                <w:sz w:val="18"/>
                <w:szCs w:val="18"/>
              </w:rPr>
              <w:t xml:space="preserve"> Karacan (Anatomi EABD Bşk.)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D65377" w:rsidRDefault="00D65377" w:rsidP="0093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A17794">
              <w:rPr>
                <w:sz w:val="18"/>
                <w:szCs w:val="18"/>
              </w:rPr>
              <w:t xml:space="preserve"> Dr. Yusuf Yürümez</w:t>
            </w:r>
            <w:r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>(Enstitü Müdür Yrd.)</w:t>
            </w:r>
          </w:p>
          <w:p w:rsidR="00A858E1" w:rsidRDefault="00A858E1" w:rsidP="00935AA0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D65377" w:rsidRPr="006C571D" w:rsidRDefault="00D65377" w:rsidP="00D65377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D65377" w:rsidRDefault="00B12808" w:rsidP="0093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</w:t>
            </w:r>
            <w:r w:rsidRPr="006C571D">
              <w:rPr>
                <w:sz w:val="18"/>
                <w:szCs w:val="18"/>
              </w:rPr>
              <w:t xml:space="preserve"> </w:t>
            </w:r>
            <w:proofErr w:type="spellStart"/>
            <w:r w:rsidRPr="006C571D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Nureddin</w:t>
            </w:r>
            <w:proofErr w:type="spellEnd"/>
            <w:r>
              <w:rPr>
                <w:sz w:val="18"/>
                <w:szCs w:val="18"/>
              </w:rPr>
              <w:t xml:space="preserve"> Cengiz (Histoloji ve Embriyoloji EABD Bşk. V.)</w:t>
            </w:r>
          </w:p>
          <w:p w:rsidR="00A858E1" w:rsidRPr="006C571D" w:rsidRDefault="00A858E1" w:rsidP="00935AA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Kaan </w:t>
            </w:r>
            <w:proofErr w:type="spellStart"/>
            <w:r>
              <w:rPr>
                <w:sz w:val="18"/>
                <w:szCs w:val="18"/>
              </w:rPr>
              <w:t>Kırali</w:t>
            </w:r>
            <w:proofErr w:type="spellEnd"/>
            <w:r>
              <w:rPr>
                <w:sz w:val="18"/>
                <w:szCs w:val="18"/>
              </w:rPr>
              <w:t xml:space="preserve"> (Kalp ve Damar Cerrahisi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Hüdaverdi </w:t>
            </w:r>
            <w:proofErr w:type="spellStart"/>
            <w:r>
              <w:rPr>
                <w:sz w:val="18"/>
                <w:szCs w:val="18"/>
              </w:rPr>
              <w:t>Küçüker</w:t>
            </w:r>
            <w:proofErr w:type="spellEnd"/>
            <w:r>
              <w:rPr>
                <w:sz w:val="18"/>
                <w:szCs w:val="18"/>
              </w:rPr>
              <w:t xml:space="preserve"> (Adli Tıp EABD Bşk.)</w:t>
            </w:r>
          </w:p>
          <w:p w:rsidR="00B12808" w:rsidRDefault="00B12808" w:rsidP="00B1280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Doç.Dr.Ertuğrul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Gelen (Antrenörlük Eğitimi EABD Bşk.)</w:t>
            </w:r>
          </w:p>
          <w:p w:rsidR="00F57115" w:rsidRPr="006C571D" w:rsidRDefault="00F57115" w:rsidP="00F57115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Birsen Aydemir</w:t>
            </w:r>
            <w:r>
              <w:rPr>
                <w:sz w:val="18"/>
                <w:szCs w:val="18"/>
              </w:rPr>
              <w:t xml:space="preserve"> (Biyofizik EABD Bşk.)</w:t>
            </w:r>
          </w:p>
          <w:p w:rsidR="00F57115" w:rsidRPr="006C571D" w:rsidRDefault="00F57115" w:rsidP="00F57115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r>
              <w:rPr>
                <w:sz w:val="18"/>
                <w:szCs w:val="18"/>
              </w:rPr>
              <w:t>Gürol (Fizyoloji EABD Bşk.)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  <w:p w:rsidR="00A858E1" w:rsidRPr="00426CA5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</w:tr>
    </w:tbl>
    <w:p w:rsidR="00A858E1" w:rsidRPr="00F16F37" w:rsidRDefault="00A858E1" w:rsidP="00A858E1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Pr="00F16F37">
        <w:rPr>
          <w:sz w:val="20"/>
          <w:szCs w:val="20"/>
        </w:rPr>
        <w:t>02.</w:t>
      </w:r>
      <w:r w:rsidR="00F57115" w:rsidRPr="00F16F37">
        <w:rPr>
          <w:sz w:val="20"/>
          <w:szCs w:val="20"/>
        </w:rPr>
        <w:t>06</w:t>
      </w:r>
      <w:r w:rsidRPr="00F16F37">
        <w:rPr>
          <w:sz w:val="20"/>
          <w:szCs w:val="20"/>
        </w:rPr>
        <w:t>.201</w:t>
      </w:r>
      <w:r w:rsidR="00F57115" w:rsidRPr="00F16F37">
        <w:rPr>
          <w:sz w:val="20"/>
          <w:szCs w:val="20"/>
        </w:rPr>
        <w:t>4</w:t>
      </w:r>
      <w:r w:rsidRPr="00F16F37">
        <w:rPr>
          <w:sz w:val="20"/>
          <w:szCs w:val="20"/>
        </w:rPr>
        <w:t xml:space="preserve"> tarihinde, Enstitü Müdürü Prof. Dr. Oğuz Karabay başkanlığında toplanan Enstitü Kurulumuzda;</w:t>
      </w:r>
    </w:p>
    <w:p w:rsidR="00D8216F" w:rsidRPr="00F16F37" w:rsidRDefault="00D8216F" w:rsidP="00A858E1">
      <w:pPr>
        <w:jc w:val="both"/>
        <w:rPr>
          <w:sz w:val="20"/>
          <w:szCs w:val="20"/>
        </w:rPr>
      </w:pPr>
    </w:p>
    <w:p w:rsidR="00786650" w:rsidRPr="00F16F37" w:rsidRDefault="00D8216F" w:rsidP="00E37F13">
      <w:pPr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01-</w:t>
      </w:r>
      <w:r w:rsidR="00786650" w:rsidRPr="00F16F37">
        <w:rPr>
          <w:sz w:val="20"/>
          <w:szCs w:val="20"/>
        </w:rPr>
        <w:t xml:space="preserve">Hemşirelik EABD Başkanlığının </w:t>
      </w:r>
      <w:proofErr w:type="gramStart"/>
      <w:r w:rsidR="00786650" w:rsidRPr="00F16F37">
        <w:rPr>
          <w:sz w:val="20"/>
          <w:szCs w:val="20"/>
        </w:rPr>
        <w:t>15/05/2014</w:t>
      </w:r>
      <w:proofErr w:type="gramEnd"/>
      <w:r w:rsidR="00786650" w:rsidRPr="00F16F37">
        <w:rPr>
          <w:sz w:val="20"/>
          <w:szCs w:val="20"/>
        </w:rPr>
        <w:t xml:space="preserve"> tarih ve 301.01.02/19945 sayılı yazısı ve ekleri okundu.</w:t>
      </w:r>
    </w:p>
    <w:p w:rsidR="00786650" w:rsidRPr="00F16F37" w:rsidRDefault="00786650" w:rsidP="00E37F13">
      <w:pPr>
        <w:jc w:val="both"/>
        <w:rPr>
          <w:sz w:val="20"/>
          <w:szCs w:val="20"/>
        </w:rPr>
      </w:pPr>
    </w:p>
    <w:p w:rsidR="00786650" w:rsidRPr="00F16F37" w:rsidRDefault="00786650" w:rsidP="00E37F13">
      <w:pPr>
        <w:jc w:val="both"/>
        <w:rPr>
          <w:sz w:val="20"/>
          <w:szCs w:val="20"/>
        </w:rPr>
      </w:pPr>
      <w:r w:rsidRPr="00F16F37">
        <w:rPr>
          <w:sz w:val="20"/>
          <w:szCs w:val="20"/>
        </w:rPr>
        <w:t>Yapılan görüşmeler sonunda; 2014-2015 Eğitim Öğretim yılı Güz yarıyılında Hemşirelik EABD Doktora programına</w:t>
      </w:r>
      <w:r w:rsidR="00072032" w:rsidRPr="00F16F37"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>alınması talep edilen “7”</w:t>
      </w:r>
      <w:r w:rsidR="00072032" w:rsidRPr="00F16F37">
        <w:rPr>
          <w:sz w:val="20"/>
          <w:szCs w:val="20"/>
        </w:rPr>
        <w:t xml:space="preserve"> (yedi)</w:t>
      </w:r>
      <w:r w:rsidRPr="00F16F37">
        <w:rPr>
          <w:sz w:val="20"/>
          <w:szCs w:val="20"/>
        </w:rPr>
        <w:t xml:space="preserve"> kontenjanın “3” </w:t>
      </w:r>
      <w:r w:rsidR="00072032" w:rsidRPr="00F16F37">
        <w:rPr>
          <w:sz w:val="20"/>
          <w:szCs w:val="20"/>
        </w:rPr>
        <w:t xml:space="preserve">(üç) </w:t>
      </w:r>
      <w:r w:rsidRPr="00F16F37">
        <w:rPr>
          <w:sz w:val="20"/>
          <w:szCs w:val="20"/>
        </w:rPr>
        <w:t>kontenjan olarak belirlenmesinin uygun o</w:t>
      </w:r>
      <w:r w:rsidR="008D7B5F" w:rsidRPr="00F16F37">
        <w:rPr>
          <w:sz w:val="20"/>
          <w:szCs w:val="20"/>
        </w:rPr>
        <w:t>l</w:t>
      </w:r>
      <w:r w:rsidRPr="00F16F37">
        <w:rPr>
          <w:sz w:val="20"/>
          <w:szCs w:val="20"/>
        </w:rPr>
        <w:t>duğuna oy birliğiyle karar verildi.</w:t>
      </w:r>
    </w:p>
    <w:p w:rsidR="00786650" w:rsidRPr="00F16F37" w:rsidRDefault="00786650" w:rsidP="00E37F13">
      <w:pPr>
        <w:jc w:val="both"/>
        <w:rPr>
          <w:sz w:val="20"/>
          <w:szCs w:val="20"/>
        </w:rPr>
      </w:pPr>
    </w:p>
    <w:p w:rsidR="00BC1B61" w:rsidRPr="00F16F37" w:rsidRDefault="00BB60DC" w:rsidP="00E37F13">
      <w:pPr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02</w:t>
      </w:r>
      <w:r w:rsidRPr="00F16F37">
        <w:rPr>
          <w:sz w:val="20"/>
          <w:szCs w:val="20"/>
        </w:rPr>
        <w:t>-</w:t>
      </w:r>
      <w:r w:rsidR="00BC1B61" w:rsidRPr="00F16F37">
        <w:rPr>
          <w:sz w:val="20"/>
          <w:szCs w:val="20"/>
        </w:rPr>
        <w:t>201</w:t>
      </w:r>
      <w:r w:rsidR="00E37F13" w:rsidRPr="00F16F37">
        <w:rPr>
          <w:sz w:val="20"/>
          <w:szCs w:val="20"/>
        </w:rPr>
        <w:t>4</w:t>
      </w:r>
      <w:r w:rsidR="00BC1B61" w:rsidRPr="00F16F37">
        <w:rPr>
          <w:sz w:val="20"/>
          <w:szCs w:val="20"/>
        </w:rPr>
        <w:t>-201</w:t>
      </w:r>
      <w:r w:rsidR="00E37F13" w:rsidRPr="00F16F37">
        <w:rPr>
          <w:sz w:val="20"/>
          <w:szCs w:val="20"/>
        </w:rPr>
        <w:t>5</w:t>
      </w:r>
      <w:r w:rsidR="00BC1B61" w:rsidRPr="00F16F37">
        <w:rPr>
          <w:sz w:val="20"/>
          <w:szCs w:val="20"/>
        </w:rPr>
        <w:t xml:space="preserve"> Öğretim Yılı Güz Yarıyılında </w:t>
      </w:r>
      <w:r w:rsidR="00330BF0" w:rsidRPr="00F16F37">
        <w:rPr>
          <w:sz w:val="20"/>
          <w:szCs w:val="20"/>
        </w:rPr>
        <w:t>E</w:t>
      </w:r>
      <w:r w:rsidR="00BC1B61" w:rsidRPr="00F16F37">
        <w:rPr>
          <w:sz w:val="20"/>
          <w:szCs w:val="20"/>
        </w:rPr>
        <w:t xml:space="preserve">nstitümüze alınacak lisansüstü öğrenciler ile ilgili görüşme açıldı. Konu ile ilgili olarak Enstitü Anabilim Dalı Başkanlıklarının teklifleri incelendi. </w:t>
      </w:r>
    </w:p>
    <w:p w:rsidR="00BC1B61" w:rsidRPr="00F16F37" w:rsidRDefault="00BC1B61" w:rsidP="00BC1B61">
      <w:pPr>
        <w:pStyle w:val="GvdeMetni"/>
        <w:jc w:val="both"/>
        <w:rPr>
          <w:sz w:val="20"/>
          <w:szCs w:val="20"/>
        </w:rPr>
      </w:pPr>
    </w:p>
    <w:p w:rsidR="00BC1B61" w:rsidRPr="00F16F37" w:rsidRDefault="00BC1B61" w:rsidP="00BC1B61">
      <w:pPr>
        <w:pStyle w:val="GvdeMetni"/>
        <w:jc w:val="both"/>
        <w:rPr>
          <w:sz w:val="20"/>
          <w:szCs w:val="20"/>
        </w:rPr>
      </w:pPr>
      <w:r w:rsidRPr="00F16F37">
        <w:rPr>
          <w:sz w:val="20"/>
          <w:szCs w:val="20"/>
        </w:rPr>
        <w:t>Yapılan görüşmeler sonucunda; Tezli Yüksek lisans</w:t>
      </w:r>
      <w:r w:rsidR="00955BC6" w:rsidRPr="00F16F37">
        <w:rPr>
          <w:sz w:val="20"/>
          <w:szCs w:val="20"/>
        </w:rPr>
        <w:t>, Tezsiz Yüksek lisans</w:t>
      </w:r>
      <w:r w:rsidRPr="00F16F37">
        <w:rPr>
          <w:sz w:val="20"/>
          <w:szCs w:val="20"/>
        </w:rPr>
        <w:t xml:space="preserve"> ve Doktora öğrenci kontenjanları ile başvuru şartlarının, başvuru ve sınav tarihlerinin ekteki şekliyle kabulüne ve gereği için Rektörlük Makamına arzına oybirliği ile karar verildi.</w:t>
      </w:r>
    </w:p>
    <w:p w:rsidR="00BC1B61" w:rsidRPr="00F16F37" w:rsidRDefault="00BC1B61" w:rsidP="00A858E1">
      <w:pPr>
        <w:jc w:val="both"/>
        <w:rPr>
          <w:sz w:val="20"/>
          <w:szCs w:val="20"/>
        </w:rPr>
      </w:pPr>
    </w:p>
    <w:p w:rsidR="002D48F2" w:rsidRPr="00F16F37" w:rsidRDefault="002D48F2" w:rsidP="002D48F2">
      <w:pPr>
        <w:pStyle w:val="GvdeMetni"/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</w:t>
      </w:r>
      <w:r w:rsidR="00BB60DC" w:rsidRPr="00F16F37">
        <w:rPr>
          <w:b/>
          <w:sz w:val="20"/>
          <w:szCs w:val="20"/>
        </w:rPr>
        <w:t>3</w:t>
      </w:r>
      <w:r w:rsidRPr="00F16F37">
        <w:rPr>
          <w:b/>
          <w:sz w:val="20"/>
          <w:szCs w:val="20"/>
        </w:rPr>
        <w:t xml:space="preserve">. </w:t>
      </w:r>
      <w:r w:rsidRPr="00F16F37">
        <w:rPr>
          <w:sz w:val="20"/>
          <w:szCs w:val="20"/>
        </w:rPr>
        <w:t>Sağlık Bilimleri Enstitüsü 2014-2015 Eğitim Öğretim Yılı Akademik Takvimi görüşmeye açıldı</w:t>
      </w:r>
    </w:p>
    <w:p w:rsidR="002D48F2" w:rsidRPr="00F16F37" w:rsidRDefault="002D48F2" w:rsidP="002D48F2">
      <w:pPr>
        <w:pStyle w:val="GvdeMetni"/>
        <w:jc w:val="both"/>
        <w:rPr>
          <w:sz w:val="20"/>
          <w:szCs w:val="20"/>
        </w:rPr>
      </w:pPr>
    </w:p>
    <w:p w:rsidR="002D48F2" w:rsidRPr="00F16F37" w:rsidRDefault="002D48F2" w:rsidP="002D48F2">
      <w:pPr>
        <w:pStyle w:val="GvdeMetni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 w:rsidRPr="00F16F37">
        <w:rPr>
          <w:b/>
          <w:sz w:val="20"/>
          <w:szCs w:val="20"/>
        </w:rPr>
        <w:t xml:space="preserve"> </w:t>
      </w:r>
      <w:r w:rsidRPr="00F16F37">
        <w:rPr>
          <w:sz w:val="20"/>
          <w:szCs w:val="20"/>
        </w:rPr>
        <w:t>Sağlık Bilimleri Enstitüsü 2014-2015 Eğitim Öğretim Yılı Akademik Takviminin ekteki şekliyle kabulüne ve gereği için Rektörlük Makamına arzına oybirliği ile karar verildi.</w:t>
      </w:r>
    </w:p>
    <w:p w:rsidR="002D48F2" w:rsidRPr="00F16F37" w:rsidRDefault="002D48F2" w:rsidP="00A858E1">
      <w:pPr>
        <w:jc w:val="both"/>
        <w:rPr>
          <w:sz w:val="20"/>
          <w:szCs w:val="20"/>
        </w:rPr>
      </w:pPr>
    </w:p>
    <w:p w:rsidR="00287C04" w:rsidRPr="00F16F37" w:rsidRDefault="00287C04" w:rsidP="00287C04">
      <w:pPr>
        <w:pStyle w:val="GvdeMetni"/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04.</w:t>
      </w:r>
      <w:r w:rsidR="0065221B" w:rsidRPr="00F16F37">
        <w:rPr>
          <w:sz w:val="20"/>
          <w:szCs w:val="20"/>
        </w:rPr>
        <w:t xml:space="preserve"> </w:t>
      </w:r>
      <w:r w:rsidR="00336E86" w:rsidRPr="00F16F37">
        <w:rPr>
          <w:sz w:val="20"/>
          <w:szCs w:val="20"/>
        </w:rPr>
        <w:t xml:space="preserve">Tıbbi Biyokimya Anabilim Dalı Başkanlığının </w:t>
      </w:r>
      <w:proofErr w:type="gramStart"/>
      <w:r w:rsidR="00336E86" w:rsidRPr="00F16F37">
        <w:rPr>
          <w:sz w:val="20"/>
          <w:szCs w:val="20"/>
        </w:rPr>
        <w:t>18/02/2014</w:t>
      </w:r>
      <w:proofErr w:type="gramEnd"/>
      <w:r w:rsidR="00336E86" w:rsidRPr="00F16F37">
        <w:rPr>
          <w:sz w:val="20"/>
          <w:szCs w:val="20"/>
        </w:rPr>
        <w:t xml:space="preserve"> tarih ve 11640438/33 </w:t>
      </w:r>
      <w:r w:rsidRPr="00F16F37">
        <w:rPr>
          <w:sz w:val="20"/>
          <w:szCs w:val="20"/>
        </w:rPr>
        <w:t>sayılı yazısı ve ekleri okundu.</w:t>
      </w:r>
    </w:p>
    <w:p w:rsidR="00287C04" w:rsidRPr="00F16F37" w:rsidRDefault="00287C04" w:rsidP="00287C04">
      <w:pPr>
        <w:pStyle w:val="GvdeMetni"/>
        <w:jc w:val="both"/>
        <w:rPr>
          <w:sz w:val="20"/>
          <w:szCs w:val="20"/>
        </w:rPr>
      </w:pPr>
    </w:p>
    <w:p w:rsidR="00287C04" w:rsidRPr="00F16F37" w:rsidRDefault="00287C04" w:rsidP="00287C04">
      <w:pPr>
        <w:pStyle w:val="GvdeMetni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 w:rsidR="00FC3916" w:rsidRPr="00F16F37">
        <w:rPr>
          <w:sz w:val="20"/>
          <w:szCs w:val="20"/>
        </w:rPr>
        <w:t xml:space="preserve">Tıbbi Biyokimya </w:t>
      </w:r>
      <w:r w:rsidRPr="00F16F37">
        <w:rPr>
          <w:sz w:val="20"/>
          <w:szCs w:val="20"/>
        </w:rPr>
        <w:t xml:space="preserve">Anabilim Dalı Tezli Yüksek Lisans programı dosyasının YÖK’ün belirlemiş olduğu lisansüstü program açma ölçütlerine uygun olarak düzenlendiği anlaşıldığından, </w:t>
      </w:r>
      <w:r w:rsidR="00C70D77" w:rsidRPr="00F16F37">
        <w:rPr>
          <w:sz w:val="20"/>
          <w:szCs w:val="20"/>
        </w:rPr>
        <w:t xml:space="preserve">Program </w:t>
      </w:r>
      <w:r w:rsidRPr="00F16F37">
        <w:rPr>
          <w:sz w:val="20"/>
          <w:szCs w:val="20"/>
        </w:rPr>
        <w:t>açılması</w:t>
      </w:r>
      <w:r w:rsidR="00C70D77" w:rsidRPr="00F16F37">
        <w:rPr>
          <w:sz w:val="20"/>
          <w:szCs w:val="20"/>
        </w:rPr>
        <w:t xml:space="preserve"> isteğinin</w:t>
      </w:r>
      <w:r w:rsidRPr="00F16F37">
        <w:rPr>
          <w:sz w:val="20"/>
          <w:szCs w:val="20"/>
        </w:rPr>
        <w:t xml:space="preserve"> </w:t>
      </w:r>
      <w:r w:rsidRPr="00F16F37">
        <w:rPr>
          <w:b/>
          <w:sz w:val="20"/>
          <w:szCs w:val="20"/>
        </w:rPr>
        <w:t>uygun olduğuna</w:t>
      </w:r>
      <w:r w:rsidRPr="00F16F37">
        <w:rPr>
          <w:sz w:val="20"/>
          <w:szCs w:val="20"/>
        </w:rPr>
        <w:t>, gereği için Rektörlük Makamına arzına oy birliğiyle karar verildi.</w:t>
      </w:r>
    </w:p>
    <w:p w:rsidR="00A858E1" w:rsidRPr="00F16F37" w:rsidRDefault="00A858E1" w:rsidP="00A858E1">
      <w:pPr>
        <w:pStyle w:val="GvdeMetni"/>
        <w:jc w:val="both"/>
        <w:rPr>
          <w:b/>
          <w:sz w:val="20"/>
          <w:szCs w:val="20"/>
        </w:rPr>
      </w:pPr>
    </w:p>
    <w:p w:rsidR="00FD7310" w:rsidRPr="00F16F37" w:rsidRDefault="00FD7310" w:rsidP="00FD7310">
      <w:pPr>
        <w:pStyle w:val="Default"/>
        <w:rPr>
          <w:sz w:val="20"/>
          <w:szCs w:val="20"/>
        </w:rPr>
      </w:pPr>
      <w:r w:rsidRPr="00F16F37">
        <w:rPr>
          <w:b/>
          <w:sz w:val="20"/>
          <w:szCs w:val="20"/>
        </w:rPr>
        <w:t>05</w:t>
      </w:r>
      <w:r w:rsidRPr="00F16F37">
        <w:rPr>
          <w:sz w:val="20"/>
          <w:szCs w:val="20"/>
        </w:rPr>
        <w:t xml:space="preserve">- Fizyoloji Enstitü Anabilim Dalı Başkanlığının </w:t>
      </w:r>
      <w:proofErr w:type="gramStart"/>
      <w:r w:rsidRPr="00F16F37">
        <w:rPr>
          <w:sz w:val="20"/>
          <w:szCs w:val="20"/>
        </w:rPr>
        <w:t>21/05/2014</w:t>
      </w:r>
      <w:proofErr w:type="gramEnd"/>
      <w:r w:rsidRPr="00F16F37">
        <w:rPr>
          <w:sz w:val="20"/>
          <w:szCs w:val="20"/>
        </w:rPr>
        <w:t xml:space="preserve"> tarih ve 74390987/105.02-20502 sayılı yazısı ve ekleri okundu.</w:t>
      </w:r>
    </w:p>
    <w:p w:rsidR="00FD7310" w:rsidRPr="00F16F37" w:rsidRDefault="00FD7310" w:rsidP="00FD7310">
      <w:pPr>
        <w:pStyle w:val="Default"/>
        <w:rPr>
          <w:sz w:val="20"/>
          <w:szCs w:val="20"/>
        </w:rPr>
      </w:pPr>
    </w:p>
    <w:p w:rsidR="00FD7310" w:rsidRPr="00F16F37" w:rsidRDefault="00FD7310" w:rsidP="008160C0">
      <w:pPr>
        <w:pStyle w:val="Default"/>
        <w:jc w:val="both"/>
        <w:rPr>
          <w:sz w:val="20"/>
          <w:szCs w:val="20"/>
        </w:rPr>
      </w:pPr>
      <w:r w:rsidRPr="00F16F37">
        <w:rPr>
          <w:sz w:val="20"/>
          <w:szCs w:val="20"/>
        </w:rPr>
        <w:t>Yapılan görüşmeler sonunda; 201</w:t>
      </w:r>
      <w:r w:rsidR="0025361B" w:rsidRPr="00F16F37">
        <w:rPr>
          <w:sz w:val="20"/>
          <w:szCs w:val="20"/>
        </w:rPr>
        <w:t>4</w:t>
      </w:r>
      <w:r w:rsidRPr="00F16F37">
        <w:rPr>
          <w:sz w:val="20"/>
          <w:szCs w:val="20"/>
        </w:rPr>
        <w:t>-201</w:t>
      </w:r>
      <w:r w:rsidR="0025361B" w:rsidRPr="00F16F37">
        <w:rPr>
          <w:sz w:val="20"/>
          <w:szCs w:val="20"/>
        </w:rPr>
        <w:t>5</w:t>
      </w:r>
      <w:r w:rsidRPr="00F16F37">
        <w:rPr>
          <w:sz w:val="20"/>
          <w:szCs w:val="20"/>
        </w:rPr>
        <w:t xml:space="preserve"> </w:t>
      </w:r>
      <w:r w:rsidR="0025361B" w:rsidRPr="00F16F37">
        <w:rPr>
          <w:sz w:val="20"/>
          <w:szCs w:val="20"/>
        </w:rPr>
        <w:t xml:space="preserve">Eğitim </w:t>
      </w:r>
      <w:r w:rsidRPr="00F16F37">
        <w:rPr>
          <w:sz w:val="20"/>
          <w:szCs w:val="20"/>
        </w:rPr>
        <w:t xml:space="preserve">Öğretim Yılı </w:t>
      </w:r>
      <w:r w:rsidR="006647F4" w:rsidRPr="00F16F37">
        <w:rPr>
          <w:sz w:val="20"/>
          <w:szCs w:val="20"/>
        </w:rPr>
        <w:t>Güz</w:t>
      </w:r>
      <w:r w:rsidRPr="00F16F37">
        <w:rPr>
          <w:sz w:val="20"/>
          <w:szCs w:val="20"/>
        </w:rPr>
        <w:t xml:space="preserve"> Yarıyılından itibaren </w:t>
      </w:r>
      <w:r w:rsidR="00FA51C0" w:rsidRPr="00F16F37">
        <w:rPr>
          <w:sz w:val="20"/>
          <w:szCs w:val="20"/>
        </w:rPr>
        <w:t xml:space="preserve">Fizyoloji EABD yüksek lisans programında </w:t>
      </w:r>
      <w:r w:rsidRPr="00F16F37">
        <w:rPr>
          <w:sz w:val="20"/>
          <w:szCs w:val="20"/>
        </w:rPr>
        <w:t xml:space="preserve">açılması ve okutulması önerilen aşağıda kodu, kredisi ve öğretim üyesi belirtilen </w:t>
      </w:r>
      <w:r w:rsidR="0025361B" w:rsidRPr="00F16F37">
        <w:rPr>
          <w:b/>
          <w:bCs/>
          <w:sz w:val="20"/>
          <w:szCs w:val="20"/>
        </w:rPr>
        <w:t>seç</w:t>
      </w:r>
      <w:r w:rsidR="00194EBA" w:rsidRPr="00F16F37">
        <w:rPr>
          <w:b/>
          <w:bCs/>
          <w:sz w:val="20"/>
          <w:szCs w:val="20"/>
        </w:rPr>
        <w:t>im</w:t>
      </w:r>
      <w:r w:rsidR="0025361B" w:rsidRPr="00F16F37">
        <w:rPr>
          <w:b/>
          <w:bCs/>
          <w:sz w:val="20"/>
          <w:szCs w:val="20"/>
        </w:rPr>
        <w:t xml:space="preserve">li </w:t>
      </w:r>
      <w:r w:rsidR="00912C86" w:rsidRPr="00F16F37">
        <w:rPr>
          <w:b/>
          <w:bCs/>
          <w:sz w:val="20"/>
          <w:szCs w:val="20"/>
        </w:rPr>
        <w:t>d</w:t>
      </w:r>
      <w:r w:rsidRPr="00F16F37">
        <w:rPr>
          <w:b/>
          <w:bCs/>
          <w:sz w:val="20"/>
          <w:szCs w:val="20"/>
        </w:rPr>
        <w:t xml:space="preserve">ersin </w:t>
      </w:r>
      <w:r w:rsidRPr="00F16F37">
        <w:rPr>
          <w:sz w:val="20"/>
          <w:szCs w:val="20"/>
        </w:rPr>
        <w:t xml:space="preserve">açılmasının uygun olduğuna ve gereği için Rektörlüğe arzına oybirliği ile karar verildi. </w:t>
      </w:r>
    </w:p>
    <w:p w:rsidR="00FA51C0" w:rsidRPr="00F16F37" w:rsidRDefault="00FA51C0" w:rsidP="00FD7310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945"/>
        <w:gridCol w:w="1945"/>
        <w:gridCol w:w="3204"/>
      </w:tblGrid>
      <w:tr w:rsidR="00FD7310" w:rsidRPr="00F16F37" w:rsidTr="00515D4F">
        <w:trPr>
          <w:trHeight w:val="80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tbl>
            <w:tblPr>
              <w:tblStyle w:val="TabloKlavuzu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2139"/>
              <w:gridCol w:w="993"/>
              <w:gridCol w:w="3260"/>
              <w:gridCol w:w="1276"/>
            </w:tblGrid>
            <w:tr w:rsidR="0025361B" w:rsidRPr="00F16F37" w:rsidTr="009C41E5">
              <w:tc>
                <w:tcPr>
                  <w:tcW w:w="1258" w:type="dxa"/>
                </w:tcPr>
                <w:p w:rsidR="0025361B" w:rsidRPr="00F16F37" w:rsidRDefault="0025361B" w:rsidP="0025361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16F37">
                    <w:rPr>
                      <w:b/>
                      <w:sz w:val="20"/>
                      <w:szCs w:val="20"/>
                    </w:rPr>
                    <w:t>D.KODU</w:t>
                  </w:r>
                </w:p>
              </w:tc>
              <w:tc>
                <w:tcPr>
                  <w:tcW w:w="2139" w:type="dxa"/>
                </w:tcPr>
                <w:p w:rsidR="0025361B" w:rsidRPr="00F16F37" w:rsidRDefault="0025361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16F37">
                    <w:rPr>
                      <w:b/>
                      <w:sz w:val="20"/>
                      <w:szCs w:val="20"/>
                    </w:rPr>
                    <w:t>ADI</w:t>
                  </w:r>
                </w:p>
              </w:tc>
              <w:tc>
                <w:tcPr>
                  <w:tcW w:w="993" w:type="dxa"/>
                </w:tcPr>
                <w:p w:rsidR="0025361B" w:rsidRPr="00F16F37" w:rsidRDefault="0025361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16F37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3260" w:type="dxa"/>
                </w:tcPr>
                <w:p w:rsidR="0025361B" w:rsidRPr="00F16F37" w:rsidRDefault="0025361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16F37">
                    <w:rPr>
                      <w:b/>
                      <w:sz w:val="20"/>
                      <w:szCs w:val="20"/>
                    </w:rPr>
                    <w:t>ÖĞRETİM ÜYESİ</w:t>
                  </w:r>
                </w:p>
              </w:tc>
              <w:tc>
                <w:tcPr>
                  <w:tcW w:w="1276" w:type="dxa"/>
                </w:tcPr>
                <w:p w:rsidR="0025361B" w:rsidRPr="00F16F37" w:rsidRDefault="0025361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16F37">
                    <w:rPr>
                      <w:b/>
                      <w:sz w:val="20"/>
                      <w:szCs w:val="20"/>
                    </w:rPr>
                    <w:t>YARIYILI</w:t>
                  </w:r>
                </w:p>
              </w:tc>
            </w:tr>
            <w:tr w:rsidR="0025361B" w:rsidRPr="00F16F37" w:rsidTr="009C41E5">
              <w:tc>
                <w:tcPr>
                  <w:tcW w:w="1258" w:type="dxa"/>
                </w:tcPr>
                <w:p w:rsidR="0025361B" w:rsidRPr="00F16F37" w:rsidRDefault="0025361B" w:rsidP="00FA51C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16F37">
                    <w:rPr>
                      <w:sz w:val="20"/>
                      <w:szCs w:val="20"/>
                    </w:rPr>
                    <w:t>FZL511</w:t>
                  </w:r>
                </w:p>
              </w:tc>
              <w:tc>
                <w:tcPr>
                  <w:tcW w:w="2139" w:type="dxa"/>
                </w:tcPr>
                <w:p w:rsidR="0025361B" w:rsidRPr="00F16F37" w:rsidRDefault="0025361B" w:rsidP="00FA51C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16F37">
                    <w:rPr>
                      <w:sz w:val="20"/>
                      <w:szCs w:val="20"/>
                    </w:rPr>
                    <w:t>Fizyolojik Sinyaller</w:t>
                  </w:r>
                </w:p>
              </w:tc>
              <w:tc>
                <w:tcPr>
                  <w:tcW w:w="993" w:type="dxa"/>
                </w:tcPr>
                <w:p w:rsidR="0025361B" w:rsidRPr="00F16F37" w:rsidRDefault="0025361B" w:rsidP="00FA51C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16F37">
                    <w:rPr>
                      <w:sz w:val="20"/>
                      <w:szCs w:val="20"/>
                    </w:rPr>
                    <w:t>4+0</w:t>
                  </w:r>
                </w:p>
              </w:tc>
              <w:tc>
                <w:tcPr>
                  <w:tcW w:w="3260" w:type="dxa"/>
                </w:tcPr>
                <w:p w:rsidR="0025361B" w:rsidRPr="00F16F37" w:rsidRDefault="0025361B" w:rsidP="00C70D77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F16F37">
                    <w:rPr>
                      <w:sz w:val="20"/>
                      <w:szCs w:val="20"/>
                    </w:rPr>
                    <w:t>Y.</w:t>
                  </w:r>
                  <w:proofErr w:type="gramStart"/>
                  <w:r w:rsidRPr="00F16F37">
                    <w:rPr>
                      <w:sz w:val="20"/>
                      <w:szCs w:val="20"/>
                    </w:rPr>
                    <w:t>Doç.Dr.Gönül</w:t>
                  </w:r>
                  <w:proofErr w:type="spellEnd"/>
                  <w:proofErr w:type="gramEnd"/>
                  <w:r w:rsidRPr="00F16F37">
                    <w:rPr>
                      <w:sz w:val="20"/>
                      <w:szCs w:val="20"/>
                    </w:rPr>
                    <w:t xml:space="preserve"> GÜROL</w:t>
                  </w:r>
                </w:p>
              </w:tc>
              <w:tc>
                <w:tcPr>
                  <w:tcW w:w="1276" w:type="dxa"/>
                </w:tcPr>
                <w:p w:rsidR="0025361B" w:rsidRPr="00F16F37" w:rsidRDefault="0025361B" w:rsidP="00FA51C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16F37">
                    <w:rPr>
                      <w:sz w:val="20"/>
                      <w:szCs w:val="20"/>
                    </w:rPr>
                    <w:t>Bahar</w:t>
                  </w:r>
                </w:p>
              </w:tc>
            </w:tr>
          </w:tbl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</w:tr>
      <w:tr w:rsidR="00FD7310" w:rsidRPr="00F16F37" w:rsidTr="00515D4F">
        <w:trPr>
          <w:trHeight w:val="81"/>
        </w:trPr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</w:tr>
      <w:tr w:rsidR="00FD7310" w:rsidRPr="00F16F37" w:rsidTr="00515D4F">
        <w:trPr>
          <w:trHeight w:val="81"/>
        </w:trPr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FD7310" w:rsidRPr="00F16F37" w:rsidRDefault="00FD731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B60DC" w:rsidRPr="00F16F37" w:rsidRDefault="00CA3ADE" w:rsidP="00BB60DC">
      <w:pPr>
        <w:pStyle w:val="Default"/>
        <w:rPr>
          <w:sz w:val="20"/>
          <w:szCs w:val="20"/>
        </w:rPr>
      </w:pPr>
      <w:r w:rsidRPr="00F16F37">
        <w:rPr>
          <w:b/>
          <w:sz w:val="20"/>
          <w:szCs w:val="20"/>
        </w:rPr>
        <w:lastRenderedPageBreak/>
        <w:t>06.</w:t>
      </w:r>
      <w:r w:rsidR="00066CCB" w:rsidRPr="00F16F37">
        <w:rPr>
          <w:sz w:val="20"/>
          <w:szCs w:val="20"/>
        </w:rPr>
        <w:t xml:space="preserve">Antrenörlük Eğitimi EABD Başkanlığının </w:t>
      </w:r>
      <w:proofErr w:type="gramStart"/>
      <w:r w:rsidR="005B0477" w:rsidRPr="00F16F37">
        <w:rPr>
          <w:sz w:val="20"/>
          <w:szCs w:val="20"/>
        </w:rPr>
        <w:t>02/06/2014</w:t>
      </w:r>
      <w:proofErr w:type="gramEnd"/>
      <w:r w:rsidR="005B0477" w:rsidRPr="00F16F37">
        <w:rPr>
          <w:sz w:val="20"/>
          <w:szCs w:val="20"/>
        </w:rPr>
        <w:t xml:space="preserve"> tarih ve 105.02-22293 sayılı yazısı ve ekleri okundu.</w:t>
      </w:r>
    </w:p>
    <w:p w:rsidR="00066CCB" w:rsidRPr="00F16F37" w:rsidRDefault="00066CCB" w:rsidP="00BB60DC">
      <w:pPr>
        <w:pStyle w:val="Default"/>
        <w:rPr>
          <w:b/>
          <w:sz w:val="20"/>
          <w:szCs w:val="20"/>
        </w:rPr>
      </w:pPr>
    </w:p>
    <w:p w:rsidR="00D5501F" w:rsidRPr="00F16F37" w:rsidRDefault="00D5501F" w:rsidP="00D5501F">
      <w:pPr>
        <w:pStyle w:val="Default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2014-2015 Eğitim Öğretim Yılı </w:t>
      </w:r>
      <w:r w:rsidR="00891A1F" w:rsidRPr="00F16F37">
        <w:rPr>
          <w:sz w:val="20"/>
          <w:szCs w:val="20"/>
        </w:rPr>
        <w:t>Güz/</w:t>
      </w:r>
      <w:r w:rsidRPr="00F16F37">
        <w:rPr>
          <w:sz w:val="20"/>
          <w:szCs w:val="20"/>
        </w:rPr>
        <w:t xml:space="preserve">Bahar Yarıyılından itibaren Antrenörlük Eğitimi EABD yüksek lisans programında açılması ve okutulması önerilen aşağıda kodu, kredisi ve öğretim üyesi belirtilen </w:t>
      </w:r>
      <w:r w:rsidR="00891A1F" w:rsidRPr="00F16F37">
        <w:rPr>
          <w:b/>
          <w:bCs/>
          <w:sz w:val="20"/>
          <w:szCs w:val="20"/>
        </w:rPr>
        <w:t>SEÇİ</w:t>
      </w:r>
      <w:r w:rsidR="00CD4C68" w:rsidRPr="00F16F37">
        <w:rPr>
          <w:b/>
          <w:bCs/>
          <w:sz w:val="20"/>
          <w:szCs w:val="20"/>
        </w:rPr>
        <w:t>MLİ</w:t>
      </w:r>
      <w:r w:rsidRPr="00F16F37">
        <w:rPr>
          <w:b/>
          <w:bCs/>
          <w:sz w:val="20"/>
          <w:szCs w:val="20"/>
        </w:rPr>
        <w:t xml:space="preserve"> ve </w:t>
      </w:r>
      <w:r w:rsidR="00C160AD" w:rsidRPr="00F16F37">
        <w:rPr>
          <w:b/>
          <w:bCs/>
          <w:sz w:val="20"/>
          <w:szCs w:val="20"/>
        </w:rPr>
        <w:t>UZMANLIK ALAN</w:t>
      </w:r>
      <w:r w:rsidR="00891A1F" w:rsidRPr="00F16F37">
        <w:rPr>
          <w:b/>
          <w:bCs/>
          <w:sz w:val="20"/>
          <w:szCs w:val="20"/>
        </w:rPr>
        <w:t xml:space="preserve"> DERSLERİNİN </w:t>
      </w:r>
      <w:r w:rsidRPr="00F16F37">
        <w:rPr>
          <w:sz w:val="20"/>
          <w:szCs w:val="20"/>
        </w:rPr>
        <w:t xml:space="preserve">açılmasının uygun olduğuna ve gereği için Rektörlüğe arzına oybirliği ile karar verildi. </w:t>
      </w:r>
    </w:p>
    <w:p w:rsidR="00D5501F" w:rsidRPr="00F16F37" w:rsidRDefault="00D5501F" w:rsidP="00BB60DC">
      <w:pPr>
        <w:pStyle w:val="Default"/>
        <w:rPr>
          <w:b/>
          <w:sz w:val="20"/>
          <w:szCs w:val="20"/>
        </w:rPr>
      </w:pPr>
    </w:p>
    <w:p w:rsidR="00D5501F" w:rsidRPr="00F16F37" w:rsidRDefault="00D5501F" w:rsidP="00BB60DC">
      <w:pPr>
        <w:pStyle w:val="Default"/>
        <w:rPr>
          <w:b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258"/>
        <w:gridCol w:w="2678"/>
        <w:gridCol w:w="1134"/>
        <w:gridCol w:w="2296"/>
        <w:gridCol w:w="1814"/>
      </w:tblGrid>
      <w:tr w:rsidR="00D5501F" w:rsidRPr="00F16F37" w:rsidTr="00515D4F">
        <w:tc>
          <w:tcPr>
            <w:tcW w:w="1258" w:type="dxa"/>
          </w:tcPr>
          <w:p w:rsidR="00D5501F" w:rsidRPr="00F16F37" w:rsidRDefault="00D5501F" w:rsidP="00935AA0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678" w:type="dxa"/>
          </w:tcPr>
          <w:p w:rsidR="00D5501F" w:rsidRPr="00F16F37" w:rsidRDefault="00D5501F" w:rsidP="00935AA0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134" w:type="dxa"/>
          </w:tcPr>
          <w:p w:rsidR="00D5501F" w:rsidRPr="00F16F37" w:rsidRDefault="00D5501F" w:rsidP="00935AA0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96" w:type="dxa"/>
          </w:tcPr>
          <w:p w:rsidR="00D5501F" w:rsidRPr="00F16F37" w:rsidRDefault="00D5501F" w:rsidP="00935AA0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814" w:type="dxa"/>
          </w:tcPr>
          <w:p w:rsidR="00D5501F" w:rsidRPr="00F16F37" w:rsidRDefault="00D5501F" w:rsidP="00935AA0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YARIYILI</w:t>
            </w:r>
          </w:p>
        </w:tc>
      </w:tr>
      <w:tr w:rsidR="00D5501F" w:rsidRPr="00F16F37" w:rsidTr="00515D4F">
        <w:tc>
          <w:tcPr>
            <w:tcW w:w="1258" w:type="dxa"/>
          </w:tcPr>
          <w:p w:rsidR="00D5501F" w:rsidRPr="00F16F37" w:rsidRDefault="00D5501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9"/>
            </w:tblGrid>
            <w:tr w:rsidR="00515D4F" w:rsidRPr="00F16F37" w:rsidTr="00515D4F">
              <w:trPr>
                <w:trHeight w:val="81"/>
              </w:trPr>
              <w:tc>
                <w:tcPr>
                  <w:tcW w:w="2789" w:type="dxa"/>
                </w:tcPr>
                <w:p w:rsidR="00515D4F" w:rsidRPr="00F16F37" w:rsidRDefault="00C160AD" w:rsidP="00515D4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16F37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Uzmanlık Alan</w:t>
                  </w:r>
                  <w:r w:rsidR="00515D4F" w:rsidRPr="00F16F37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Dersi </w:t>
                  </w:r>
                </w:p>
              </w:tc>
            </w:tr>
          </w:tbl>
          <w:p w:rsidR="00D5501F" w:rsidRPr="00F16F37" w:rsidRDefault="00D5501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01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4+0</w:t>
            </w:r>
          </w:p>
        </w:tc>
        <w:tc>
          <w:tcPr>
            <w:tcW w:w="2296" w:type="dxa"/>
          </w:tcPr>
          <w:p w:rsidR="00D5501F" w:rsidRPr="00F16F37" w:rsidRDefault="00515D4F" w:rsidP="00515D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6F37">
              <w:rPr>
                <w:sz w:val="20"/>
                <w:szCs w:val="20"/>
              </w:rPr>
              <w:t>Y.</w:t>
            </w:r>
            <w:proofErr w:type="gramStart"/>
            <w:r w:rsidRPr="00F16F37">
              <w:rPr>
                <w:sz w:val="20"/>
                <w:szCs w:val="20"/>
              </w:rPr>
              <w:t>Doç.Dr.Suat</w:t>
            </w:r>
            <w:proofErr w:type="spellEnd"/>
            <w:proofErr w:type="gramEnd"/>
            <w:r w:rsidRPr="00F16F37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814" w:type="dxa"/>
          </w:tcPr>
          <w:p w:rsidR="00D5501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Güz/Bahar</w:t>
            </w:r>
          </w:p>
        </w:tc>
      </w:tr>
      <w:tr w:rsidR="00515D4F" w:rsidRPr="00F16F37" w:rsidTr="00515D4F">
        <w:tc>
          <w:tcPr>
            <w:tcW w:w="1258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515D4F" w:rsidRPr="00F16F37" w:rsidRDefault="00C160AD" w:rsidP="00515D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Uzmanlık Alan</w:t>
            </w:r>
            <w:r w:rsidR="00515D4F"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Dersi</w:t>
            </w:r>
          </w:p>
        </w:tc>
        <w:tc>
          <w:tcPr>
            <w:tcW w:w="1134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4+0</w:t>
            </w:r>
          </w:p>
        </w:tc>
        <w:tc>
          <w:tcPr>
            <w:tcW w:w="2296" w:type="dxa"/>
          </w:tcPr>
          <w:p w:rsidR="00515D4F" w:rsidRPr="00F16F37" w:rsidRDefault="00515D4F" w:rsidP="00515D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6F37">
              <w:rPr>
                <w:sz w:val="20"/>
                <w:szCs w:val="20"/>
              </w:rPr>
              <w:t>Y.</w:t>
            </w:r>
            <w:proofErr w:type="gramStart"/>
            <w:r w:rsidRPr="00F16F37">
              <w:rPr>
                <w:sz w:val="20"/>
                <w:szCs w:val="20"/>
              </w:rPr>
              <w:t>Doç.Dr.Murat</w:t>
            </w:r>
            <w:proofErr w:type="spellEnd"/>
            <w:proofErr w:type="gramEnd"/>
            <w:r w:rsidRPr="00F16F37">
              <w:rPr>
                <w:sz w:val="20"/>
                <w:szCs w:val="20"/>
              </w:rPr>
              <w:t xml:space="preserve"> ÇİLLİ</w:t>
            </w:r>
          </w:p>
        </w:tc>
        <w:tc>
          <w:tcPr>
            <w:tcW w:w="1814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Güz/Bahar</w:t>
            </w:r>
          </w:p>
        </w:tc>
      </w:tr>
      <w:tr w:rsidR="00515D4F" w:rsidRPr="00F16F37" w:rsidTr="00515D4F">
        <w:tc>
          <w:tcPr>
            <w:tcW w:w="1258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515D4F" w:rsidRPr="00F16F37" w:rsidRDefault="00C160AD" w:rsidP="00515D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Uzmanlık Alan</w:t>
            </w:r>
            <w:r w:rsidR="00515D4F"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Dersi</w:t>
            </w:r>
          </w:p>
        </w:tc>
        <w:tc>
          <w:tcPr>
            <w:tcW w:w="1134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4+0</w:t>
            </w:r>
          </w:p>
        </w:tc>
        <w:tc>
          <w:tcPr>
            <w:tcW w:w="2296" w:type="dxa"/>
          </w:tcPr>
          <w:p w:rsidR="00515D4F" w:rsidRPr="00F16F37" w:rsidRDefault="00515D4F" w:rsidP="00515D4F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F16F37">
              <w:rPr>
                <w:sz w:val="20"/>
                <w:szCs w:val="20"/>
              </w:rPr>
              <w:t>Doç.Dr.Ertuğrul</w:t>
            </w:r>
            <w:proofErr w:type="spellEnd"/>
            <w:proofErr w:type="gramEnd"/>
            <w:r w:rsidRPr="00F16F37">
              <w:rPr>
                <w:sz w:val="20"/>
                <w:szCs w:val="20"/>
              </w:rPr>
              <w:t xml:space="preserve"> GELEN</w:t>
            </w:r>
          </w:p>
        </w:tc>
        <w:tc>
          <w:tcPr>
            <w:tcW w:w="1814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Güz/Bahar</w:t>
            </w:r>
          </w:p>
        </w:tc>
      </w:tr>
      <w:tr w:rsidR="00515D4F" w:rsidRPr="00F16F37" w:rsidTr="00515D4F">
        <w:tc>
          <w:tcPr>
            <w:tcW w:w="1258" w:type="dxa"/>
          </w:tcPr>
          <w:p w:rsidR="00515D4F" w:rsidRPr="00F16F37" w:rsidRDefault="00515D4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515D4F" w:rsidRPr="00F16F37" w:rsidRDefault="00DB1DCF" w:rsidP="00DB1D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Performans Sporlarında Kuvvet ve Kondisyon</w:t>
            </w:r>
          </w:p>
        </w:tc>
        <w:tc>
          <w:tcPr>
            <w:tcW w:w="1134" w:type="dxa"/>
          </w:tcPr>
          <w:p w:rsidR="00515D4F" w:rsidRPr="00F16F37" w:rsidRDefault="00DB1DC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3+0</w:t>
            </w:r>
          </w:p>
        </w:tc>
        <w:tc>
          <w:tcPr>
            <w:tcW w:w="2296" w:type="dxa"/>
          </w:tcPr>
          <w:p w:rsidR="00515D4F" w:rsidRPr="00F16F37" w:rsidRDefault="00DB1DCF" w:rsidP="00515D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6F37">
              <w:rPr>
                <w:sz w:val="20"/>
                <w:szCs w:val="20"/>
              </w:rPr>
              <w:t>Y.</w:t>
            </w:r>
            <w:proofErr w:type="gramStart"/>
            <w:r w:rsidRPr="00F16F37">
              <w:rPr>
                <w:sz w:val="20"/>
                <w:szCs w:val="20"/>
              </w:rPr>
              <w:t>Doç.Dr.Suat</w:t>
            </w:r>
            <w:proofErr w:type="spellEnd"/>
            <w:proofErr w:type="gramEnd"/>
            <w:r w:rsidRPr="00F16F37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814" w:type="dxa"/>
          </w:tcPr>
          <w:p w:rsidR="00515D4F" w:rsidRPr="00F16F37" w:rsidRDefault="00DB1DCF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Güz/Bahar</w:t>
            </w:r>
          </w:p>
        </w:tc>
      </w:tr>
      <w:tr w:rsidR="00DB1DCF" w:rsidRPr="00F16F37" w:rsidTr="00515D4F">
        <w:tc>
          <w:tcPr>
            <w:tcW w:w="1258" w:type="dxa"/>
          </w:tcPr>
          <w:p w:rsidR="00DB1DCF" w:rsidRPr="00F16F37" w:rsidRDefault="00DB1DCF" w:rsidP="00935A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DB1DCF" w:rsidRPr="00F16F37" w:rsidRDefault="00BE2E28" w:rsidP="00515D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Çocuk ve Gençlerde Direnç Antrenmanları</w:t>
            </w:r>
          </w:p>
        </w:tc>
        <w:tc>
          <w:tcPr>
            <w:tcW w:w="1134" w:type="dxa"/>
          </w:tcPr>
          <w:p w:rsidR="00DB1DCF" w:rsidRPr="00F16F37" w:rsidRDefault="00BE2E28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3+0</w:t>
            </w:r>
          </w:p>
        </w:tc>
        <w:tc>
          <w:tcPr>
            <w:tcW w:w="2296" w:type="dxa"/>
          </w:tcPr>
          <w:p w:rsidR="00DB1DCF" w:rsidRPr="00F16F37" w:rsidRDefault="00F91B7A" w:rsidP="00515D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6F37">
              <w:rPr>
                <w:sz w:val="20"/>
                <w:szCs w:val="20"/>
              </w:rPr>
              <w:t>Y.</w:t>
            </w:r>
            <w:proofErr w:type="gramStart"/>
            <w:r w:rsidRPr="00F16F37">
              <w:rPr>
                <w:sz w:val="20"/>
                <w:szCs w:val="20"/>
              </w:rPr>
              <w:t>Doç.Dr.Suat</w:t>
            </w:r>
            <w:proofErr w:type="spellEnd"/>
            <w:proofErr w:type="gramEnd"/>
            <w:r w:rsidRPr="00F16F37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814" w:type="dxa"/>
          </w:tcPr>
          <w:p w:rsidR="00DB1DCF" w:rsidRPr="00F16F37" w:rsidRDefault="00135C60" w:rsidP="00935AA0">
            <w:pPr>
              <w:pStyle w:val="Default"/>
              <w:jc w:val="center"/>
              <w:rPr>
                <w:sz w:val="20"/>
                <w:szCs w:val="20"/>
              </w:rPr>
            </w:pPr>
            <w:r w:rsidRPr="00F16F37">
              <w:rPr>
                <w:sz w:val="20"/>
                <w:szCs w:val="20"/>
              </w:rPr>
              <w:t>Güz/Bahar</w:t>
            </w:r>
          </w:p>
        </w:tc>
      </w:tr>
    </w:tbl>
    <w:p w:rsidR="00D5501F" w:rsidRPr="00F16F37" w:rsidRDefault="00D5501F" w:rsidP="00BB60DC">
      <w:pPr>
        <w:pStyle w:val="Default"/>
        <w:rPr>
          <w:b/>
          <w:sz w:val="20"/>
          <w:szCs w:val="20"/>
        </w:rPr>
      </w:pPr>
    </w:p>
    <w:p w:rsidR="00066CCB" w:rsidRPr="00F16F37" w:rsidRDefault="00066CCB" w:rsidP="00BB60DC">
      <w:pPr>
        <w:pStyle w:val="Default"/>
        <w:rPr>
          <w:b/>
          <w:sz w:val="20"/>
          <w:szCs w:val="20"/>
        </w:rPr>
      </w:pPr>
    </w:p>
    <w:p w:rsidR="00E20BBF" w:rsidRPr="00F16F37" w:rsidRDefault="00381828" w:rsidP="00FE0082">
      <w:pPr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07.</w:t>
      </w:r>
      <w:r w:rsidR="00E20BBF" w:rsidRPr="00F16F37">
        <w:rPr>
          <w:b/>
          <w:sz w:val="20"/>
          <w:szCs w:val="20"/>
        </w:rPr>
        <w:t xml:space="preserve"> </w:t>
      </w:r>
      <w:r w:rsidR="00E20BBF" w:rsidRPr="00F16F37">
        <w:rPr>
          <w:sz w:val="20"/>
          <w:szCs w:val="20"/>
        </w:rPr>
        <w:t xml:space="preserve">Hemşirelik EABD Başkanlığının </w:t>
      </w:r>
      <w:proofErr w:type="gramStart"/>
      <w:r w:rsidR="00E20BBF" w:rsidRPr="00F16F37">
        <w:rPr>
          <w:sz w:val="20"/>
          <w:szCs w:val="20"/>
        </w:rPr>
        <w:t>30/05/2014</w:t>
      </w:r>
      <w:proofErr w:type="gramEnd"/>
      <w:r w:rsidR="00E20BBF" w:rsidRPr="00F16F37">
        <w:rPr>
          <w:sz w:val="20"/>
          <w:szCs w:val="20"/>
        </w:rPr>
        <w:t xml:space="preserve"> tarih ve 101.02.02/22149 sayılı yazısı ve ekleri okundu.</w:t>
      </w:r>
    </w:p>
    <w:p w:rsidR="00E20BBF" w:rsidRPr="00F16F37" w:rsidRDefault="00E20BBF" w:rsidP="00FE0082">
      <w:pPr>
        <w:jc w:val="both"/>
        <w:rPr>
          <w:sz w:val="20"/>
          <w:szCs w:val="20"/>
        </w:rPr>
      </w:pPr>
    </w:p>
    <w:p w:rsidR="00381828" w:rsidRPr="00F16F37" w:rsidRDefault="00E20BBF" w:rsidP="00FE0082">
      <w:pPr>
        <w:pStyle w:val="Default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Hemşirelik </w:t>
      </w:r>
      <w:r w:rsidR="00FE0082" w:rsidRPr="00F16F37">
        <w:rPr>
          <w:sz w:val="20"/>
          <w:szCs w:val="20"/>
        </w:rPr>
        <w:t xml:space="preserve">Programında Lisansta 853 öğrenci olduğu toplam 6 öğretim üyesi ile </w:t>
      </w:r>
      <w:r w:rsidR="00A61EF8" w:rsidRPr="00F16F37">
        <w:rPr>
          <w:sz w:val="20"/>
          <w:szCs w:val="20"/>
        </w:rPr>
        <w:t>34</w:t>
      </w:r>
      <w:r w:rsidR="00FE0082" w:rsidRPr="00F16F37">
        <w:rPr>
          <w:sz w:val="20"/>
          <w:szCs w:val="20"/>
        </w:rPr>
        <w:t xml:space="preserve"> Yüksek Lisans ve 6 doktora eğitiminin zaten devam ettiği</w:t>
      </w:r>
      <w:r w:rsidR="00BC1306" w:rsidRPr="00F16F37">
        <w:rPr>
          <w:sz w:val="20"/>
          <w:szCs w:val="20"/>
        </w:rPr>
        <w:t>,</w:t>
      </w:r>
      <w:r w:rsidR="00FE0082" w:rsidRPr="00F16F37">
        <w:rPr>
          <w:sz w:val="20"/>
          <w:szCs w:val="20"/>
        </w:rPr>
        <w:t xml:space="preserve"> öğretim üyesi başına düşen öğrenci sayısının 148 olduğu anlaşılmış olup açılacak olan yeni bir </w:t>
      </w:r>
      <w:proofErr w:type="spellStart"/>
      <w:proofErr w:type="gramStart"/>
      <w:r w:rsidR="00FE0082" w:rsidRPr="00F16F37">
        <w:rPr>
          <w:sz w:val="20"/>
          <w:szCs w:val="20"/>
        </w:rPr>
        <w:t>II.öğretim</w:t>
      </w:r>
      <w:proofErr w:type="spellEnd"/>
      <w:proofErr w:type="gramEnd"/>
      <w:r w:rsidR="00FE0082" w:rsidRPr="00F16F37">
        <w:rPr>
          <w:sz w:val="20"/>
          <w:szCs w:val="20"/>
        </w:rPr>
        <w:t xml:space="preserve"> Yüksek lisans programı için gerekli Öğretim Üyesi sayısının azlığı ve öğretim kalitesini düşürmemek adına </w:t>
      </w:r>
      <w:r w:rsidR="00FE0082" w:rsidRPr="00F16F37">
        <w:rPr>
          <w:b/>
          <w:sz w:val="20"/>
          <w:szCs w:val="20"/>
        </w:rPr>
        <w:t>“Tezsiz Yüksek Lisans Programı (</w:t>
      </w:r>
      <w:proofErr w:type="spellStart"/>
      <w:r w:rsidR="00FE0082" w:rsidRPr="00F16F37">
        <w:rPr>
          <w:b/>
          <w:sz w:val="20"/>
          <w:szCs w:val="20"/>
        </w:rPr>
        <w:t>II.Öğretim</w:t>
      </w:r>
      <w:proofErr w:type="spellEnd"/>
      <w:r w:rsidR="00FE0082" w:rsidRPr="00F16F37">
        <w:rPr>
          <w:b/>
          <w:sz w:val="20"/>
          <w:szCs w:val="20"/>
        </w:rPr>
        <w:t>)”</w:t>
      </w:r>
      <w:r w:rsidR="00FE0082" w:rsidRPr="00F16F37"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açılmasının </w:t>
      </w:r>
      <w:r w:rsidRPr="00F16F37">
        <w:rPr>
          <w:b/>
          <w:sz w:val="20"/>
          <w:szCs w:val="20"/>
          <w:u w:val="single"/>
        </w:rPr>
        <w:t>uygun olmadığına</w:t>
      </w:r>
      <w:r w:rsidRPr="00F16F37">
        <w:rPr>
          <w:sz w:val="20"/>
          <w:szCs w:val="20"/>
        </w:rPr>
        <w:t xml:space="preserve"> oy çokluğuyla karar verildi.</w:t>
      </w:r>
    </w:p>
    <w:p w:rsidR="00E20BBF" w:rsidRDefault="00E20BBF" w:rsidP="00E20BBF">
      <w:pPr>
        <w:pStyle w:val="Default"/>
      </w:pPr>
      <w:bookmarkStart w:id="0" w:name="_GoBack"/>
      <w:bookmarkEnd w:id="0"/>
    </w:p>
    <w:p w:rsidR="004F3759" w:rsidRPr="00CD2480" w:rsidRDefault="004F3759" w:rsidP="004F3759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8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4F3759" w:rsidRPr="00CD2480" w:rsidRDefault="004F3759" w:rsidP="004F3759">
      <w:pPr>
        <w:ind w:firstLine="708"/>
        <w:rPr>
          <w:sz w:val="20"/>
          <w:szCs w:val="20"/>
        </w:rPr>
      </w:pPr>
    </w:p>
    <w:p w:rsidR="00E20BBF" w:rsidRDefault="00E20BBF" w:rsidP="00E20BBF">
      <w:pPr>
        <w:pStyle w:val="Default"/>
      </w:pPr>
    </w:p>
    <w:p w:rsidR="00E20BBF" w:rsidRDefault="00E20BBF" w:rsidP="00E20BBF">
      <w:pPr>
        <w:pStyle w:val="Default"/>
      </w:pPr>
    </w:p>
    <w:p w:rsidR="00E20BBF" w:rsidRDefault="00E20BBF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p w:rsidR="00F83F78" w:rsidRDefault="00F83F78" w:rsidP="00E20BBF">
      <w:pPr>
        <w:pStyle w:val="Default"/>
        <w:rPr>
          <w:b/>
        </w:rPr>
      </w:pPr>
    </w:p>
    <w:sectPr w:rsidR="00F8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1"/>
    <w:rsid w:val="00066CCB"/>
    <w:rsid w:val="00072032"/>
    <w:rsid w:val="00135C60"/>
    <w:rsid w:val="00194EBA"/>
    <w:rsid w:val="0025361B"/>
    <w:rsid w:val="00287C04"/>
    <w:rsid w:val="002954DF"/>
    <w:rsid w:val="002D48F2"/>
    <w:rsid w:val="002F6D0D"/>
    <w:rsid w:val="00330BF0"/>
    <w:rsid w:val="00336E86"/>
    <w:rsid w:val="00381828"/>
    <w:rsid w:val="003B09F9"/>
    <w:rsid w:val="004F3759"/>
    <w:rsid w:val="00515D4F"/>
    <w:rsid w:val="00546F14"/>
    <w:rsid w:val="005B0477"/>
    <w:rsid w:val="0065221B"/>
    <w:rsid w:val="006647F4"/>
    <w:rsid w:val="007264A4"/>
    <w:rsid w:val="00733431"/>
    <w:rsid w:val="00745E1B"/>
    <w:rsid w:val="00786650"/>
    <w:rsid w:val="008160C0"/>
    <w:rsid w:val="00850509"/>
    <w:rsid w:val="008645B7"/>
    <w:rsid w:val="00891A1F"/>
    <w:rsid w:val="008C2818"/>
    <w:rsid w:val="008D7B5F"/>
    <w:rsid w:val="00912C86"/>
    <w:rsid w:val="00931FA1"/>
    <w:rsid w:val="00943B36"/>
    <w:rsid w:val="00955BC6"/>
    <w:rsid w:val="009671B2"/>
    <w:rsid w:val="009830A4"/>
    <w:rsid w:val="009B2AD9"/>
    <w:rsid w:val="009C41E5"/>
    <w:rsid w:val="00A20C57"/>
    <w:rsid w:val="00A61EF8"/>
    <w:rsid w:val="00A858E1"/>
    <w:rsid w:val="00B12808"/>
    <w:rsid w:val="00BB60DC"/>
    <w:rsid w:val="00BC1306"/>
    <w:rsid w:val="00BC1B61"/>
    <w:rsid w:val="00BE2E28"/>
    <w:rsid w:val="00C160AD"/>
    <w:rsid w:val="00C63410"/>
    <w:rsid w:val="00C70D77"/>
    <w:rsid w:val="00CA3ADE"/>
    <w:rsid w:val="00CB3B8F"/>
    <w:rsid w:val="00CD4C68"/>
    <w:rsid w:val="00D22480"/>
    <w:rsid w:val="00D5501F"/>
    <w:rsid w:val="00D65377"/>
    <w:rsid w:val="00D8216F"/>
    <w:rsid w:val="00DB1DCF"/>
    <w:rsid w:val="00E20BBF"/>
    <w:rsid w:val="00E37F13"/>
    <w:rsid w:val="00E94249"/>
    <w:rsid w:val="00EF77E3"/>
    <w:rsid w:val="00F16F37"/>
    <w:rsid w:val="00F57115"/>
    <w:rsid w:val="00F83F78"/>
    <w:rsid w:val="00F91B7A"/>
    <w:rsid w:val="00FA51C0"/>
    <w:rsid w:val="00FC3916"/>
    <w:rsid w:val="00FD7310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FE10-E22E-4E75-99DF-13E36F6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EFCB-9653-4AC4-B8BE-7380E949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76</cp:revision>
  <cp:lastPrinted>2014-07-07T11:37:00Z</cp:lastPrinted>
  <dcterms:created xsi:type="dcterms:W3CDTF">2014-06-03T07:17:00Z</dcterms:created>
  <dcterms:modified xsi:type="dcterms:W3CDTF">2016-02-24T15:03:00Z</dcterms:modified>
</cp:coreProperties>
</file>